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C10" w:rsidRPr="00814D92" w:rsidRDefault="00CE4FFF" w:rsidP="008826C0">
      <w:pPr>
        <w:spacing w:after="0" w:line="240" w:lineRule="auto"/>
        <w:jc w:val="center"/>
        <w:rPr>
          <w:rFonts w:ascii="Times New Roman" w:eastAsia="Times New Roman" w:hAnsi="Times New Roman" w:cs="Times New Roman"/>
          <w:b/>
          <w:sz w:val="32"/>
          <w:szCs w:val="32"/>
          <w:lang w:eastAsia="lv-LV"/>
        </w:rPr>
      </w:pPr>
      <w:r w:rsidRPr="00814D92">
        <w:rPr>
          <w:rFonts w:ascii="Times New Roman" w:hAnsi="Times New Roman" w:cs="Times New Roman"/>
          <w:b/>
          <w:sz w:val="32"/>
          <w:szCs w:val="32"/>
        </w:rPr>
        <w:t>Informatīvais</w:t>
      </w:r>
      <w:r w:rsidR="001B4C10" w:rsidRPr="00814D92">
        <w:rPr>
          <w:rFonts w:ascii="Times New Roman" w:hAnsi="Times New Roman" w:cs="Times New Roman"/>
          <w:b/>
          <w:sz w:val="32"/>
          <w:szCs w:val="32"/>
        </w:rPr>
        <w:t xml:space="preserve"> z</w:t>
      </w:r>
      <w:r w:rsidR="00AB5050" w:rsidRPr="00814D92">
        <w:rPr>
          <w:rFonts w:ascii="Times New Roman" w:hAnsi="Times New Roman" w:cs="Times New Roman"/>
          <w:b/>
          <w:sz w:val="32"/>
          <w:szCs w:val="32"/>
        </w:rPr>
        <w:t>iņojum</w:t>
      </w:r>
      <w:r w:rsidRPr="00814D92">
        <w:rPr>
          <w:rFonts w:ascii="Times New Roman" w:hAnsi="Times New Roman" w:cs="Times New Roman"/>
          <w:b/>
          <w:sz w:val="32"/>
          <w:szCs w:val="32"/>
        </w:rPr>
        <w:t>s</w:t>
      </w:r>
      <w:r w:rsidR="00AB5050" w:rsidRPr="00814D92">
        <w:rPr>
          <w:rFonts w:ascii="Times New Roman" w:hAnsi="Times New Roman" w:cs="Times New Roman"/>
          <w:b/>
          <w:sz w:val="32"/>
          <w:szCs w:val="32"/>
        </w:rPr>
        <w:t xml:space="preserve"> </w:t>
      </w:r>
      <w:r w:rsidR="001B4C10" w:rsidRPr="00814D92">
        <w:rPr>
          <w:rFonts w:ascii="Times New Roman" w:eastAsia="Times New Roman" w:hAnsi="Times New Roman" w:cs="Times New Roman"/>
          <w:b/>
          <w:sz w:val="32"/>
          <w:szCs w:val="32"/>
          <w:lang w:eastAsia="lv-LV"/>
        </w:rPr>
        <w:t xml:space="preserve">„Par rādītāju </w:t>
      </w:r>
      <w:r w:rsidR="008826C0" w:rsidRPr="008826C0">
        <w:rPr>
          <w:sz w:val="26"/>
          <w:szCs w:val="24"/>
        </w:rPr>
        <w:t>–</w:t>
      </w:r>
      <w:r w:rsidR="008826C0">
        <w:rPr>
          <w:rFonts w:ascii="Times New Roman" w:eastAsia="Times New Roman" w:hAnsi="Times New Roman" w:cs="Times New Roman"/>
          <w:b/>
          <w:sz w:val="32"/>
          <w:szCs w:val="32"/>
          <w:lang w:eastAsia="lv-LV"/>
        </w:rPr>
        <w:t xml:space="preserve"> </w:t>
      </w:r>
      <w:r w:rsidR="001B4C10" w:rsidRPr="00814D92">
        <w:rPr>
          <w:rFonts w:ascii="Times New Roman" w:eastAsia="Times New Roman" w:hAnsi="Times New Roman" w:cs="Times New Roman"/>
          <w:b/>
          <w:sz w:val="32"/>
          <w:szCs w:val="32"/>
          <w:lang w:eastAsia="lv-LV"/>
        </w:rPr>
        <w:t xml:space="preserve">republikas pilsētu iekšzemes kopprodukts un pievienotā vērtība </w:t>
      </w:r>
      <w:r w:rsidR="008826C0" w:rsidRPr="008826C0">
        <w:rPr>
          <w:sz w:val="26"/>
          <w:szCs w:val="24"/>
        </w:rPr>
        <w:t>–</w:t>
      </w:r>
      <w:r w:rsidR="001B4C10" w:rsidRPr="00814D92">
        <w:rPr>
          <w:rFonts w:ascii="Times New Roman" w:eastAsia="Times New Roman" w:hAnsi="Times New Roman" w:cs="Times New Roman"/>
          <w:b/>
          <w:sz w:val="32"/>
          <w:szCs w:val="32"/>
          <w:lang w:eastAsia="lv-LV"/>
        </w:rPr>
        <w:t xml:space="preserve"> iegūšanas iespējām un šādas informācijas iegūšanas nodrošināšanai nepieciešamo finansējumu”</w:t>
      </w:r>
    </w:p>
    <w:p w:rsidR="00CE4FFF" w:rsidRPr="00814D92" w:rsidRDefault="00CE4FFF" w:rsidP="00CE4FFF">
      <w:pPr>
        <w:pStyle w:val="NormalWeb"/>
        <w:spacing w:before="0" w:after="60"/>
        <w:ind w:firstLine="720"/>
        <w:jc w:val="both"/>
        <w:rPr>
          <w:sz w:val="28"/>
          <w:szCs w:val="28"/>
          <w:lang w:val="lv-LV"/>
        </w:rPr>
      </w:pPr>
    </w:p>
    <w:p w:rsidR="00063F83" w:rsidRPr="00026D80" w:rsidRDefault="00063F83" w:rsidP="00026D80">
      <w:pPr>
        <w:pStyle w:val="NormalWeb"/>
        <w:spacing w:beforeAutospacing="1" w:after="0"/>
        <w:ind w:firstLine="720"/>
        <w:jc w:val="both"/>
        <w:rPr>
          <w:sz w:val="28"/>
          <w:szCs w:val="28"/>
          <w:lang w:val="lv-LV"/>
        </w:rPr>
      </w:pPr>
      <w:r w:rsidRPr="00026D80">
        <w:rPr>
          <w:sz w:val="28"/>
          <w:szCs w:val="28"/>
          <w:lang w:val="lv-LV"/>
        </w:rPr>
        <w:t xml:space="preserve">Informatīvais ziņojums izstrādāts, izpildot Ministru kabineta 2014.gada 16.decembra sēdes </w:t>
      </w:r>
      <w:proofErr w:type="spellStart"/>
      <w:r w:rsidRPr="00026D80">
        <w:rPr>
          <w:sz w:val="28"/>
          <w:szCs w:val="28"/>
          <w:lang w:val="lv-LV"/>
        </w:rPr>
        <w:t>protokollēmumā</w:t>
      </w:r>
      <w:proofErr w:type="spellEnd"/>
      <w:r w:rsidRPr="00026D80">
        <w:rPr>
          <w:sz w:val="28"/>
          <w:szCs w:val="28"/>
          <w:lang w:val="lv-LV"/>
        </w:rPr>
        <w:t xml:space="preserve"> (protokols Nr.75 35.§)</w:t>
      </w:r>
      <w:r w:rsidRPr="00026D80">
        <w:rPr>
          <w:color w:val="2A2A2A"/>
          <w:sz w:val="28"/>
          <w:szCs w:val="28"/>
          <w:lang w:val="lv-LV" w:eastAsia="lv-LV"/>
        </w:rPr>
        <w:t xml:space="preserve"> </w:t>
      </w:r>
      <w:r w:rsidRPr="00026D80">
        <w:rPr>
          <w:sz w:val="28"/>
          <w:szCs w:val="28"/>
          <w:lang w:val="lv-LV"/>
        </w:rPr>
        <w:t>„Noteikumu projekts "Noteikumi par valsts statistiskās informācijas programmu 2015.gadam"” noteiktos uzdevumus:</w:t>
      </w:r>
    </w:p>
    <w:p w:rsidR="00063F83" w:rsidRPr="00026D80" w:rsidRDefault="00063F83" w:rsidP="00026D80">
      <w:pPr>
        <w:pStyle w:val="NormalWeb"/>
        <w:numPr>
          <w:ilvl w:val="0"/>
          <w:numId w:val="2"/>
        </w:numPr>
        <w:tabs>
          <w:tab w:val="clear" w:pos="720"/>
          <w:tab w:val="num" w:pos="1134"/>
        </w:tabs>
        <w:spacing w:before="0" w:afterAutospacing="1"/>
        <w:ind w:left="1134" w:hanging="425"/>
        <w:jc w:val="both"/>
        <w:rPr>
          <w:sz w:val="28"/>
          <w:szCs w:val="28"/>
          <w:lang w:val="lv-LV"/>
        </w:rPr>
      </w:pPr>
      <w:r w:rsidRPr="00026D80">
        <w:rPr>
          <w:sz w:val="28"/>
          <w:szCs w:val="28"/>
          <w:lang w:val="lv-LV"/>
        </w:rPr>
        <w:t xml:space="preserve">Ekonomikas ministrijai (Centrālajai statistikas pārvaldei) līdz 2015.gada 15.janvārim izveidot darba grupu, lai sagatavotu informatīvo ziņojumu par rādītāju </w:t>
      </w:r>
      <w:r w:rsidR="008826C0" w:rsidRPr="00026D80">
        <w:rPr>
          <w:sz w:val="28"/>
          <w:szCs w:val="28"/>
          <w:lang w:val="lv-LV"/>
        </w:rPr>
        <w:t>–</w:t>
      </w:r>
      <w:r w:rsidRPr="00026D80">
        <w:rPr>
          <w:sz w:val="28"/>
          <w:szCs w:val="28"/>
          <w:lang w:val="lv-LV"/>
        </w:rPr>
        <w:t xml:space="preserve"> republikas pilsētu iekšzemes kopprodukts un pievienotā vērtība </w:t>
      </w:r>
      <w:r w:rsidR="008826C0" w:rsidRPr="00026D80">
        <w:rPr>
          <w:sz w:val="28"/>
          <w:szCs w:val="28"/>
          <w:lang w:val="lv-LV"/>
        </w:rPr>
        <w:t>–</w:t>
      </w:r>
      <w:r w:rsidRPr="00026D80">
        <w:rPr>
          <w:sz w:val="28"/>
          <w:szCs w:val="28"/>
          <w:lang w:val="lv-LV"/>
        </w:rPr>
        <w:t xml:space="preserve"> iegūšanas iespējām un šādas informācijas iegūšanas nodrošināšanai nepieciešamo finansējumu. Darba grupā iekļaut pārstāvjus no Centrālās statistikas pārvaldes, Latvijas Pašvaldību savienības, Vides aizsardzības un reģionālās attīstības ministrijas un, ja nepieciešams, citu statistikas ražotāju un lietotāju pārstāvjus;</w:t>
      </w:r>
    </w:p>
    <w:p w:rsidR="00063F83" w:rsidRPr="00026D80" w:rsidRDefault="00063F83" w:rsidP="00026D80">
      <w:pPr>
        <w:pStyle w:val="NormalWeb"/>
        <w:numPr>
          <w:ilvl w:val="0"/>
          <w:numId w:val="2"/>
        </w:numPr>
        <w:tabs>
          <w:tab w:val="clear" w:pos="720"/>
          <w:tab w:val="num" w:pos="1134"/>
        </w:tabs>
        <w:spacing w:beforeAutospacing="1" w:afterAutospacing="1"/>
        <w:ind w:left="1134" w:hanging="425"/>
        <w:jc w:val="both"/>
        <w:rPr>
          <w:sz w:val="28"/>
          <w:szCs w:val="28"/>
          <w:lang w:val="lv-LV"/>
        </w:rPr>
      </w:pPr>
      <w:r w:rsidRPr="00026D80">
        <w:rPr>
          <w:sz w:val="28"/>
          <w:szCs w:val="28"/>
          <w:lang w:val="lv-LV"/>
        </w:rPr>
        <w:t>Ekonomikas ministrijai līdz 2015.gada 1.augustam iesniegt Ministru kabinetā darba grupas s</w:t>
      </w:r>
      <w:r w:rsidR="005D4749" w:rsidRPr="00026D80">
        <w:rPr>
          <w:sz w:val="28"/>
          <w:szCs w:val="28"/>
          <w:lang w:val="lv-LV"/>
        </w:rPr>
        <w:t>agatavoto informatīvo ziņojumu.</w:t>
      </w:r>
    </w:p>
    <w:p w:rsidR="00A245C4" w:rsidRPr="00026D80" w:rsidRDefault="003F2509" w:rsidP="00026D80">
      <w:pPr>
        <w:pStyle w:val="NormalWeb"/>
        <w:spacing w:beforeAutospacing="1" w:afterAutospacing="1"/>
        <w:ind w:firstLine="720"/>
        <w:jc w:val="both"/>
        <w:rPr>
          <w:sz w:val="28"/>
          <w:szCs w:val="28"/>
          <w:lang w:val="lv-LV"/>
        </w:rPr>
      </w:pPr>
      <w:r w:rsidRPr="00026D80">
        <w:rPr>
          <w:sz w:val="28"/>
          <w:szCs w:val="28"/>
          <w:lang w:val="lv-LV"/>
        </w:rPr>
        <w:t>A</w:t>
      </w:r>
      <w:r w:rsidR="00063F83" w:rsidRPr="00026D80">
        <w:rPr>
          <w:sz w:val="28"/>
          <w:szCs w:val="28"/>
          <w:lang w:val="lv-LV"/>
        </w:rPr>
        <w:t xml:space="preserve">r Centrālās statistikas pārvaldes (turpmāk – Pārvalde) 2015.gada 14.janvāra rīkojumu Nr.2015/9 </w:t>
      </w:r>
      <w:r w:rsidRPr="00026D80">
        <w:rPr>
          <w:sz w:val="28"/>
          <w:szCs w:val="28"/>
          <w:lang w:val="lv-LV"/>
        </w:rPr>
        <w:t>tika izveidota</w:t>
      </w:r>
      <w:r w:rsidR="00063F83" w:rsidRPr="00026D80">
        <w:rPr>
          <w:sz w:val="28"/>
          <w:szCs w:val="28"/>
          <w:lang w:val="lv-LV"/>
        </w:rPr>
        <w:t xml:space="preserve"> darba grupa</w:t>
      </w:r>
      <w:r w:rsidR="001E0BFA" w:rsidRPr="00026D80">
        <w:rPr>
          <w:sz w:val="28"/>
          <w:szCs w:val="28"/>
          <w:lang w:val="lv-LV"/>
        </w:rPr>
        <w:t xml:space="preserve"> (turpmāk – Darba grupa)</w:t>
      </w:r>
      <w:r w:rsidR="00063F83" w:rsidRPr="00026D80">
        <w:rPr>
          <w:sz w:val="28"/>
          <w:szCs w:val="28"/>
          <w:lang w:val="lv-LV"/>
        </w:rPr>
        <w:t>, kurā tika deleģēti pārstāvji no Pārvaldes, Latvijas Pašvaldību savienības, Vides aizsardzības un reģionālās attīstības ministrijas, Latvijas Lielo pilsētu asociācijas un Latvijas Tirdzniecības un rūpniecības kameras.</w:t>
      </w:r>
      <w:r w:rsidR="00201226" w:rsidRPr="00026D80">
        <w:rPr>
          <w:sz w:val="28"/>
          <w:szCs w:val="28"/>
          <w:lang w:val="lv-LV"/>
        </w:rPr>
        <w:t xml:space="preserve"> </w:t>
      </w:r>
      <w:r w:rsidR="001E0BFA" w:rsidRPr="00026D80">
        <w:rPr>
          <w:sz w:val="28"/>
          <w:szCs w:val="28"/>
          <w:lang w:val="lv-LV"/>
        </w:rPr>
        <w:t xml:space="preserve">Atsevišķās </w:t>
      </w:r>
      <w:r w:rsidR="00A245C4" w:rsidRPr="00026D80">
        <w:rPr>
          <w:sz w:val="28"/>
          <w:szCs w:val="28"/>
          <w:lang w:val="lv-LV"/>
        </w:rPr>
        <w:t xml:space="preserve">Darba grupas sanāksmēs </w:t>
      </w:r>
      <w:r w:rsidR="001E0BFA" w:rsidRPr="00026D80">
        <w:rPr>
          <w:sz w:val="28"/>
          <w:szCs w:val="28"/>
          <w:lang w:val="lv-LV"/>
        </w:rPr>
        <w:t xml:space="preserve">tika uzaicināti un </w:t>
      </w:r>
      <w:r w:rsidR="00A245C4" w:rsidRPr="00026D80">
        <w:rPr>
          <w:sz w:val="28"/>
          <w:szCs w:val="28"/>
          <w:lang w:val="lv-LV"/>
        </w:rPr>
        <w:t xml:space="preserve">piedalījās arī Ekonomikas ministrijas, Valsts ieņēmumu dienesta Nodokļu pārvaldes eksperti, kā arī </w:t>
      </w:r>
      <w:proofErr w:type="gramStart"/>
      <w:r w:rsidR="00A245C4" w:rsidRPr="00026D80">
        <w:rPr>
          <w:sz w:val="28"/>
          <w:szCs w:val="28"/>
          <w:lang w:val="lv-LV"/>
        </w:rPr>
        <w:t>citi pašvaldību</w:t>
      </w:r>
      <w:proofErr w:type="gramEnd"/>
      <w:r w:rsidR="00A245C4" w:rsidRPr="00026D80">
        <w:rPr>
          <w:sz w:val="28"/>
          <w:szCs w:val="28"/>
          <w:lang w:val="lv-LV"/>
        </w:rPr>
        <w:t xml:space="preserve"> un statistikas datu lietotāju pārstāvji.</w:t>
      </w:r>
    </w:p>
    <w:p w:rsidR="000C75A4" w:rsidRPr="00026D80" w:rsidRDefault="00A245C4" w:rsidP="00026D80">
      <w:pPr>
        <w:spacing w:before="100" w:beforeAutospacing="1" w:after="100" w:afterAutospacing="1" w:line="240" w:lineRule="auto"/>
        <w:ind w:firstLine="720"/>
        <w:jc w:val="both"/>
        <w:rPr>
          <w:rFonts w:ascii="Times New Roman" w:eastAsia="Times New Roman" w:hAnsi="Times New Roman" w:cs="Times New Roman"/>
          <w:sz w:val="28"/>
          <w:szCs w:val="28"/>
        </w:rPr>
      </w:pPr>
      <w:r w:rsidRPr="00026D80">
        <w:rPr>
          <w:rFonts w:ascii="Times New Roman" w:eastAsia="Times New Roman" w:hAnsi="Times New Roman" w:cs="Times New Roman"/>
          <w:sz w:val="28"/>
          <w:szCs w:val="28"/>
        </w:rPr>
        <w:t>Informatīvais ziņojums apskata iekšzemes kopprodukta (turpmāk</w:t>
      </w:r>
      <w:r w:rsidR="00201226" w:rsidRPr="00026D80">
        <w:rPr>
          <w:rFonts w:ascii="Times New Roman" w:eastAsia="Times New Roman" w:hAnsi="Times New Roman" w:cs="Times New Roman"/>
          <w:sz w:val="28"/>
          <w:szCs w:val="28"/>
        </w:rPr>
        <w:t xml:space="preserve"> </w:t>
      </w:r>
      <w:r w:rsidRPr="00026D80">
        <w:rPr>
          <w:rFonts w:ascii="Times New Roman" w:eastAsia="Times New Roman" w:hAnsi="Times New Roman" w:cs="Times New Roman"/>
          <w:sz w:val="28"/>
          <w:szCs w:val="28"/>
        </w:rPr>
        <w:t>– IKP) un pievienotās vērtības (turpmāk</w:t>
      </w:r>
      <w:r w:rsidR="00201226" w:rsidRPr="00026D80">
        <w:rPr>
          <w:rFonts w:ascii="Times New Roman" w:eastAsia="Times New Roman" w:hAnsi="Times New Roman" w:cs="Times New Roman"/>
          <w:sz w:val="28"/>
          <w:szCs w:val="28"/>
        </w:rPr>
        <w:t xml:space="preserve"> </w:t>
      </w:r>
      <w:r w:rsidRPr="00026D80">
        <w:rPr>
          <w:rFonts w:ascii="Times New Roman" w:eastAsia="Times New Roman" w:hAnsi="Times New Roman" w:cs="Times New Roman"/>
          <w:sz w:val="28"/>
          <w:szCs w:val="28"/>
        </w:rPr>
        <w:t xml:space="preserve">– PV) pa republikas pilsētām nepieciešamību un šo rādītāju aprēķināšanai </w:t>
      </w:r>
      <w:r w:rsidR="00574A44" w:rsidRPr="00026D80">
        <w:rPr>
          <w:rFonts w:ascii="Times New Roman" w:eastAsia="Times New Roman" w:hAnsi="Times New Roman" w:cs="Times New Roman"/>
          <w:sz w:val="28"/>
          <w:szCs w:val="28"/>
        </w:rPr>
        <w:t>izmantojamo</w:t>
      </w:r>
      <w:r w:rsidRPr="00026D80">
        <w:rPr>
          <w:rFonts w:ascii="Times New Roman" w:eastAsia="Times New Roman" w:hAnsi="Times New Roman" w:cs="Times New Roman"/>
          <w:sz w:val="28"/>
          <w:szCs w:val="28"/>
        </w:rPr>
        <w:t xml:space="preserve"> metodoloģiju</w:t>
      </w:r>
      <w:r w:rsidR="00574A44" w:rsidRPr="00026D80">
        <w:rPr>
          <w:rFonts w:ascii="Times New Roman" w:eastAsia="Times New Roman" w:hAnsi="Times New Roman" w:cs="Times New Roman"/>
          <w:sz w:val="28"/>
          <w:szCs w:val="28"/>
        </w:rPr>
        <w:t>.</w:t>
      </w:r>
      <w:r w:rsidRPr="00026D80">
        <w:rPr>
          <w:rFonts w:ascii="Times New Roman" w:eastAsia="Times New Roman" w:hAnsi="Times New Roman" w:cs="Times New Roman"/>
          <w:sz w:val="28"/>
          <w:szCs w:val="28"/>
        </w:rPr>
        <w:t xml:space="preserve"> Tiek sniegta informācija par Pārvaldes </w:t>
      </w:r>
      <w:r w:rsidR="00B74891" w:rsidRPr="00026D80">
        <w:rPr>
          <w:rFonts w:ascii="Times New Roman" w:eastAsia="Times New Roman" w:hAnsi="Times New Roman" w:cs="Times New Roman"/>
          <w:sz w:val="28"/>
          <w:szCs w:val="28"/>
        </w:rPr>
        <w:t>veikto eksperimentālo aprēķinu</w:t>
      </w:r>
      <w:r w:rsidR="003F2509" w:rsidRPr="00026D80">
        <w:rPr>
          <w:rFonts w:ascii="Times New Roman" w:eastAsia="Times New Roman" w:hAnsi="Times New Roman" w:cs="Times New Roman"/>
          <w:sz w:val="28"/>
          <w:szCs w:val="28"/>
        </w:rPr>
        <w:t>, izmantojot esošus pieejamus datus,</w:t>
      </w:r>
      <w:r w:rsidR="00574A44" w:rsidRPr="00026D80">
        <w:rPr>
          <w:rFonts w:ascii="Times New Roman" w:eastAsia="Times New Roman" w:hAnsi="Times New Roman" w:cs="Times New Roman"/>
          <w:sz w:val="28"/>
          <w:szCs w:val="28"/>
        </w:rPr>
        <w:t xml:space="preserve"> un tā kvalitātes novērtējumu, kā arī darba grupas priekšlikumiem turpmākai darbībai.</w:t>
      </w:r>
    </w:p>
    <w:p w:rsidR="008D1A67" w:rsidRPr="00026D80" w:rsidRDefault="00EE2CB0" w:rsidP="00026D80">
      <w:pPr>
        <w:pStyle w:val="ListParagraph"/>
        <w:numPr>
          <w:ilvl w:val="0"/>
          <w:numId w:val="1"/>
        </w:numPr>
        <w:tabs>
          <w:tab w:val="left" w:pos="1134"/>
        </w:tabs>
        <w:spacing w:before="100" w:beforeAutospacing="1" w:after="100" w:afterAutospacing="1" w:line="240" w:lineRule="auto"/>
        <w:ind w:left="0" w:firstLine="720"/>
        <w:jc w:val="center"/>
        <w:rPr>
          <w:rFonts w:ascii="Times New Roman" w:hAnsi="Times New Roman" w:cs="Times New Roman"/>
          <w:b/>
          <w:sz w:val="28"/>
          <w:szCs w:val="28"/>
        </w:rPr>
      </w:pPr>
      <w:r w:rsidRPr="00026D80">
        <w:rPr>
          <w:rFonts w:ascii="Times New Roman" w:hAnsi="Times New Roman" w:cs="Times New Roman"/>
          <w:b/>
          <w:sz w:val="28"/>
          <w:szCs w:val="28"/>
        </w:rPr>
        <w:t>Esošā situācija</w:t>
      </w:r>
    </w:p>
    <w:p w:rsidR="00BC4743" w:rsidRPr="00026D80" w:rsidRDefault="004048E8" w:rsidP="00026D80">
      <w:pPr>
        <w:autoSpaceDE w:val="0"/>
        <w:autoSpaceDN w:val="0"/>
        <w:adjustRightInd w:val="0"/>
        <w:spacing w:before="100" w:beforeAutospacing="1" w:after="100" w:afterAutospacing="1" w:line="240" w:lineRule="auto"/>
        <w:ind w:firstLine="720"/>
        <w:jc w:val="both"/>
        <w:rPr>
          <w:rFonts w:ascii="Times New Roman" w:hAnsi="Times New Roman" w:cs="Times New Roman"/>
          <w:sz w:val="28"/>
          <w:szCs w:val="28"/>
        </w:rPr>
      </w:pPr>
      <w:r w:rsidRPr="00026D80">
        <w:rPr>
          <w:rFonts w:ascii="Times New Roman" w:hAnsi="Times New Roman" w:cs="Times New Roman"/>
          <w:sz w:val="28"/>
          <w:szCs w:val="28"/>
        </w:rPr>
        <w:t>Latvijā par valsts budžeta līdzekļiem apkopojamā statistika tiek iekļauta ikgadējā Valsts statistiskās informācijas programmā (</w:t>
      </w:r>
      <w:r w:rsidR="003457A6" w:rsidRPr="00026D80">
        <w:rPr>
          <w:rFonts w:ascii="Times New Roman" w:hAnsi="Times New Roman" w:cs="Times New Roman"/>
          <w:sz w:val="28"/>
          <w:szCs w:val="28"/>
        </w:rPr>
        <w:t>turpmāk</w:t>
      </w:r>
      <w:r w:rsidR="00201226" w:rsidRPr="00026D80">
        <w:rPr>
          <w:rFonts w:ascii="Times New Roman" w:hAnsi="Times New Roman" w:cs="Times New Roman"/>
          <w:sz w:val="28"/>
          <w:szCs w:val="28"/>
        </w:rPr>
        <w:t xml:space="preserve"> </w:t>
      </w:r>
      <w:r w:rsidR="006457E3" w:rsidRPr="00026D80">
        <w:rPr>
          <w:rFonts w:ascii="Times New Roman" w:hAnsi="Times New Roman" w:cs="Times New Roman"/>
          <w:sz w:val="28"/>
          <w:szCs w:val="28"/>
        </w:rPr>
        <w:t xml:space="preserve">– </w:t>
      </w:r>
      <w:r w:rsidR="009904ED" w:rsidRPr="00026D80">
        <w:rPr>
          <w:rFonts w:ascii="Times New Roman" w:hAnsi="Times New Roman" w:cs="Times New Roman"/>
          <w:sz w:val="28"/>
          <w:szCs w:val="28"/>
        </w:rPr>
        <w:t>p</w:t>
      </w:r>
      <w:r w:rsidR="003457A6" w:rsidRPr="00026D80">
        <w:rPr>
          <w:rFonts w:ascii="Times New Roman" w:hAnsi="Times New Roman" w:cs="Times New Roman"/>
          <w:sz w:val="28"/>
          <w:szCs w:val="28"/>
        </w:rPr>
        <w:t>rogramma</w:t>
      </w:r>
      <w:r w:rsidRPr="00026D80">
        <w:rPr>
          <w:rFonts w:ascii="Times New Roman" w:hAnsi="Times New Roman" w:cs="Times New Roman"/>
          <w:sz w:val="28"/>
          <w:szCs w:val="28"/>
        </w:rPr>
        <w:t xml:space="preserve">). </w:t>
      </w:r>
      <w:r w:rsidRPr="00026D80">
        <w:rPr>
          <w:rFonts w:ascii="Times New Roman" w:hAnsi="Times New Roman" w:cs="Times New Roman"/>
          <w:sz w:val="28"/>
          <w:szCs w:val="28"/>
        </w:rPr>
        <w:lastRenderedPageBreak/>
        <w:t xml:space="preserve">2015.gadā izstrādātā </w:t>
      </w:r>
      <w:r w:rsidR="004215C1" w:rsidRPr="00026D80">
        <w:rPr>
          <w:rFonts w:ascii="Times New Roman" w:hAnsi="Times New Roman" w:cs="Times New Roman"/>
          <w:sz w:val="28"/>
          <w:szCs w:val="28"/>
        </w:rPr>
        <w:t>programma</w:t>
      </w:r>
      <w:r w:rsidR="000415A1" w:rsidRPr="00026D80">
        <w:rPr>
          <w:rStyle w:val="FootnoteReference"/>
          <w:rFonts w:ascii="Times New Roman" w:hAnsi="Times New Roman" w:cs="Times New Roman"/>
          <w:sz w:val="28"/>
          <w:szCs w:val="28"/>
        </w:rPr>
        <w:footnoteReference w:id="1"/>
      </w:r>
      <w:r w:rsidRPr="00026D80">
        <w:rPr>
          <w:rFonts w:ascii="Times New Roman" w:hAnsi="Times New Roman" w:cs="Times New Roman"/>
          <w:sz w:val="28"/>
          <w:szCs w:val="28"/>
        </w:rPr>
        <w:t xml:space="preserve"> paredz, ka nacionālo kontu sistēmas </w:t>
      </w:r>
      <w:r w:rsidR="00B53241" w:rsidRPr="00026D80">
        <w:rPr>
          <w:rFonts w:ascii="Times New Roman" w:hAnsi="Times New Roman" w:cs="Times New Roman"/>
          <w:sz w:val="28"/>
          <w:szCs w:val="28"/>
        </w:rPr>
        <w:t>IKP</w:t>
      </w:r>
      <w:r w:rsidR="00B53241" w:rsidRPr="00026D80">
        <w:rPr>
          <w:rFonts w:ascii="Times New Roman" w:hAnsi="Times New Roman" w:cs="Times New Roman"/>
          <w:bCs/>
          <w:sz w:val="28"/>
          <w:szCs w:val="28"/>
        </w:rPr>
        <w:t xml:space="preserve"> </w:t>
      </w:r>
      <w:r w:rsidR="00B53241" w:rsidRPr="00026D80">
        <w:rPr>
          <w:rFonts w:ascii="Times New Roman" w:hAnsi="Times New Roman" w:cs="Times New Roman"/>
          <w:sz w:val="28"/>
          <w:szCs w:val="28"/>
        </w:rPr>
        <w:t>un PV</w:t>
      </w:r>
      <w:r w:rsidR="00B53241" w:rsidRPr="00026D80">
        <w:rPr>
          <w:rFonts w:ascii="Times New Roman" w:hAnsi="Times New Roman" w:cs="Times New Roman"/>
          <w:bCs/>
          <w:sz w:val="28"/>
          <w:szCs w:val="28"/>
        </w:rPr>
        <w:t xml:space="preserve"> </w:t>
      </w:r>
      <w:r w:rsidRPr="00026D80">
        <w:rPr>
          <w:rFonts w:ascii="Times New Roman" w:hAnsi="Times New Roman" w:cs="Times New Roman"/>
          <w:sz w:val="28"/>
          <w:szCs w:val="28"/>
        </w:rPr>
        <w:t xml:space="preserve">rādītāju </w:t>
      </w:r>
      <w:r w:rsidR="00B53241" w:rsidRPr="00026D80">
        <w:rPr>
          <w:rFonts w:ascii="Times New Roman" w:hAnsi="Times New Roman" w:cs="Times New Roman"/>
          <w:sz w:val="28"/>
          <w:szCs w:val="28"/>
        </w:rPr>
        <w:t xml:space="preserve">publicējamā </w:t>
      </w:r>
      <w:r w:rsidRPr="00026D80">
        <w:rPr>
          <w:rFonts w:ascii="Times New Roman" w:hAnsi="Times New Roman" w:cs="Times New Roman"/>
          <w:sz w:val="28"/>
          <w:szCs w:val="28"/>
        </w:rPr>
        <w:t xml:space="preserve">mazākā teritoriālā detalizācija ir 6 statistiskie reģioni. </w:t>
      </w:r>
      <w:r w:rsidR="00CE4FFF" w:rsidRPr="00026D80">
        <w:rPr>
          <w:rFonts w:ascii="Times New Roman" w:hAnsi="Times New Roman" w:cs="Times New Roman"/>
          <w:sz w:val="28"/>
          <w:szCs w:val="28"/>
        </w:rPr>
        <w:t xml:space="preserve">Šādā detalizācijā IKP un PV tiek </w:t>
      </w:r>
      <w:r w:rsidR="00A61B5E" w:rsidRPr="00026D80">
        <w:rPr>
          <w:rFonts w:ascii="Times New Roman" w:hAnsi="Times New Roman" w:cs="Times New Roman"/>
          <w:sz w:val="28"/>
          <w:szCs w:val="28"/>
        </w:rPr>
        <w:t>sagatavota un publicēta</w:t>
      </w:r>
      <w:r w:rsidR="00CE4FFF" w:rsidRPr="00026D80">
        <w:rPr>
          <w:rFonts w:ascii="Times New Roman" w:hAnsi="Times New Roman" w:cs="Times New Roman"/>
          <w:sz w:val="28"/>
          <w:szCs w:val="28"/>
        </w:rPr>
        <w:t xml:space="preserve"> jau kopš datiem par</w:t>
      </w:r>
      <w:r w:rsidR="00EC0A0C" w:rsidRPr="00026D80">
        <w:rPr>
          <w:rFonts w:ascii="Times New Roman" w:hAnsi="Times New Roman" w:cs="Times New Roman"/>
          <w:sz w:val="28"/>
          <w:szCs w:val="28"/>
        </w:rPr>
        <w:t xml:space="preserve"> 2007</w:t>
      </w:r>
      <w:r w:rsidR="00A97572" w:rsidRPr="00026D80">
        <w:rPr>
          <w:rFonts w:ascii="Times New Roman" w:hAnsi="Times New Roman" w:cs="Times New Roman"/>
          <w:sz w:val="28"/>
          <w:szCs w:val="28"/>
        </w:rPr>
        <w:t>.gadu</w:t>
      </w:r>
      <w:r w:rsidR="00CE0A57" w:rsidRPr="00026D80">
        <w:rPr>
          <w:rFonts w:ascii="Times New Roman" w:hAnsi="Times New Roman" w:cs="Times New Roman"/>
          <w:sz w:val="28"/>
          <w:szCs w:val="28"/>
        </w:rPr>
        <w:t xml:space="preserve"> atbilstoši E</w:t>
      </w:r>
      <w:r w:rsidR="000E3DAB" w:rsidRPr="00026D80">
        <w:rPr>
          <w:rFonts w:ascii="Times New Roman" w:hAnsi="Times New Roman" w:cs="Times New Roman"/>
          <w:sz w:val="28"/>
          <w:szCs w:val="28"/>
        </w:rPr>
        <w:t xml:space="preserve">iropas </w:t>
      </w:r>
      <w:r w:rsidR="00CE0A57" w:rsidRPr="00026D80">
        <w:rPr>
          <w:rFonts w:ascii="Times New Roman" w:hAnsi="Times New Roman" w:cs="Times New Roman"/>
          <w:sz w:val="28"/>
          <w:szCs w:val="28"/>
        </w:rPr>
        <w:t>S</w:t>
      </w:r>
      <w:r w:rsidR="000E3DAB" w:rsidRPr="00026D80">
        <w:rPr>
          <w:rFonts w:ascii="Times New Roman" w:hAnsi="Times New Roman" w:cs="Times New Roman"/>
          <w:sz w:val="28"/>
          <w:szCs w:val="28"/>
        </w:rPr>
        <w:t>avienības (turpmāk – ES)</w:t>
      </w:r>
      <w:r w:rsidR="00CE0A57" w:rsidRPr="00026D80">
        <w:rPr>
          <w:rFonts w:ascii="Times New Roman" w:hAnsi="Times New Roman" w:cs="Times New Roman"/>
          <w:sz w:val="28"/>
          <w:szCs w:val="28"/>
        </w:rPr>
        <w:t xml:space="preserve"> likumdošanā</w:t>
      </w:r>
      <w:r w:rsidR="00467ECD">
        <w:rPr>
          <w:rFonts w:ascii="Times New Roman" w:hAnsi="Times New Roman" w:cs="Times New Roman"/>
          <w:sz w:val="28"/>
          <w:szCs w:val="28"/>
        </w:rPr>
        <w:t xml:space="preserve"> attiecībā uz nacionālo kontu sistēmu</w:t>
      </w:r>
      <w:r w:rsidR="00CE0A57" w:rsidRPr="00026D80">
        <w:rPr>
          <w:rFonts w:ascii="Times New Roman" w:hAnsi="Times New Roman" w:cs="Times New Roman"/>
          <w:sz w:val="28"/>
          <w:szCs w:val="28"/>
        </w:rPr>
        <w:t xml:space="preserve"> noteiktajam</w:t>
      </w:r>
      <w:r w:rsidR="00CE4FFF" w:rsidRPr="00026D80">
        <w:rPr>
          <w:rFonts w:ascii="Times New Roman" w:hAnsi="Times New Roman" w:cs="Times New Roman"/>
          <w:sz w:val="28"/>
          <w:szCs w:val="28"/>
        </w:rPr>
        <w:t>.</w:t>
      </w:r>
    </w:p>
    <w:p w:rsidR="00432D35" w:rsidRPr="00026D80" w:rsidRDefault="009758CC" w:rsidP="00026D80">
      <w:pPr>
        <w:autoSpaceDE w:val="0"/>
        <w:autoSpaceDN w:val="0"/>
        <w:adjustRightInd w:val="0"/>
        <w:spacing w:before="100" w:beforeAutospacing="1" w:after="100" w:afterAutospacing="1" w:line="240" w:lineRule="auto"/>
        <w:ind w:firstLine="720"/>
        <w:jc w:val="both"/>
        <w:rPr>
          <w:rFonts w:ascii="Times New Roman" w:hAnsi="Times New Roman" w:cs="Times New Roman"/>
          <w:sz w:val="28"/>
          <w:szCs w:val="28"/>
        </w:rPr>
      </w:pPr>
      <w:r w:rsidRPr="00026D80">
        <w:rPr>
          <w:rFonts w:ascii="Times New Roman" w:hAnsi="Times New Roman" w:cs="Times New Roman"/>
          <w:sz w:val="28"/>
          <w:szCs w:val="28"/>
        </w:rPr>
        <w:t xml:space="preserve">Tā kā valstī nebija pieejami ekonomisko attīstību raksturojoši statistiskie rādītāji mazākā teritoriālajā detalizācijā kā 6 statistiskie reģioni, reģionālās politikas plānotāji iniciēja </w:t>
      </w:r>
      <w:r w:rsidR="00D450A7" w:rsidRPr="00026D80">
        <w:rPr>
          <w:rFonts w:ascii="Times New Roman" w:hAnsi="Times New Roman" w:cs="Times New Roman"/>
          <w:sz w:val="28"/>
          <w:szCs w:val="28"/>
        </w:rPr>
        <w:t>šāda rādītāja</w:t>
      </w:r>
      <w:r w:rsidR="00A61B5E" w:rsidRPr="00026D80">
        <w:rPr>
          <w:rFonts w:ascii="Times New Roman" w:hAnsi="Times New Roman" w:cs="Times New Roman"/>
          <w:sz w:val="28"/>
          <w:szCs w:val="28"/>
        </w:rPr>
        <w:t xml:space="preserve"> republikas pilsētu un rajonu līmenī </w:t>
      </w:r>
      <w:r w:rsidRPr="00026D80">
        <w:rPr>
          <w:rFonts w:ascii="Times New Roman" w:hAnsi="Times New Roman" w:cs="Times New Roman"/>
          <w:sz w:val="28"/>
          <w:szCs w:val="28"/>
        </w:rPr>
        <w:t xml:space="preserve">iegūšanas iespēju izskatīšanu, </w:t>
      </w:r>
      <w:r w:rsidR="00A61B5E" w:rsidRPr="00026D80">
        <w:rPr>
          <w:rFonts w:ascii="Times New Roman" w:hAnsi="Times New Roman" w:cs="Times New Roman"/>
          <w:sz w:val="28"/>
          <w:szCs w:val="28"/>
        </w:rPr>
        <w:t>pamato</w:t>
      </w:r>
      <w:r w:rsidRPr="00026D80">
        <w:rPr>
          <w:rFonts w:ascii="Times New Roman" w:hAnsi="Times New Roman" w:cs="Times New Roman"/>
          <w:sz w:val="28"/>
          <w:szCs w:val="28"/>
        </w:rPr>
        <w:t>jot</w:t>
      </w:r>
      <w:r w:rsidR="00A61B5E" w:rsidRPr="00026D80">
        <w:rPr>
          <w:rFonts w:ascii="Times New Roman" w:hAnsi="Times New Roman" w:cs="Times New Roman"/>
          <w:sz w:val="28"/>
          <w:szCs w:val="28"/>
        </w:rPr>
        <w:t xml:space="preserve"> ar vajadzību operatīvi novērtēt republikas pilsētu un rajonu ekonomisko attīstību, veikt investīciju plānošanu un sekot plānu realizācijai pa valsts administratīvajām teritorijām</w:t>
      </w:r>
      <w:r w:rsidRPr="00026D80">
        <w:rPr>
          <w:rFonts w:ascii="Times New Roman" w:hAnsi="Times New Roman" w:cs="Times New Roman"/>
          <w:sz w:val="28"/>
          <w:szCs w:val="28"/>
        </w:rPr>
        <w:t xml:space="preserve">. Rezultātā </w:t>
      </w:r>
      <w:r w:rsidR="00BC4743" w:rsidRPr="00026D80">
        <w:rPr>
          <w:rFonts w:ascii="Times New Roman" w:hAnsi="Times New Roman" w:cs="Times New Roman"/>
          <w:sz w:val="28"/>
          <w:szCs w:val="28"/>
        </w:rPr>
        <w:t>2007.gadā, pamatojoties uz Ekonomikas ministrijas 2007.gada 16.februāra rīkojumu Nr.80, tika izveidota</w:t>
      </w:r>
      <w:r w:rsidR="00B772C8" w:rsidRPr="00026D80">
        <w:rPr>
          <w:rFonts w:ascii="Times New Roman" w:hAnsi="Times New Roman" w:cs="Times New Roman"/>
          <w:sz w:val="28"/>
          <w:szCs w:val="28"/>
        </w:rPr>
        <w:t xml:space="preserve"> </w:t>
      </w:r>
      <w:r w:rsidR="00AB25D7" w:rsidRPr="00026D80">
        <w:rPr>
          <w:rFonts w:ascii="Times New Roman" w:hAnsi="Times New Roman" w:cs="Times New Roman"/>
          <w:sz w:val="28"/>
          <w:szCs w:val="28"/>
        </w:rPr>
        <w:t xml:space="preserve">starpinstitūciju </w:t>
      </w:r>
      <w:r w:rsidR="00BC4743" w:rsidRPr="00026D80">
        <w:rPr>
          <w:rFonts w:ascii="Times New Roman" w:hAnsi="Times New Roman" w:cs="Times New Roman"/>
          <w:sz w:val="28"/>
          <w:szCs w:val="28"/>
        </w:rPr>
        <w:t xml:space="preserve">darba grupa, kura sagatavoja informatīvo ziņojumu “Pievienotā vērtība republikas pilsētu un rajonu dalījumā”. Darba grupā tika pārstāvētas četras valsts iestādes: Ekonomikas ministrija, Reģionālās attīstības un pašvaldību lietu ministrija, Valsts reģionālās attīstības aģentūra un </w:t>
      </w:r>
      <w:r w:rsidR="003F2509" w:rsidRPr="00026D80">
        <w:rPr>
          <w:rFonts w:ascii="Times New Roman" w:hAnsi="Times New Roman" w:cs="Times New Roman"/>
          <w:sz w:val="28"/>
          <w:szCs w:val="28"/>
        </w:rPr>
        <w:t>P</w:t>
      </w:r>
      <w:r w:rsidR="00BC4743" w:rsidRPr="00026D80">
        <w:rPr>
          <w:rFonts w:ascii="Times New Roman" w:hAnsi="Times New Roman" w:cs="Times New Roman"/>
          <w:sz w:val="28"/>
          <w:szCs w:val="28"/>
        </w:rPr>
        <w:t>ārvalde. Darba grupa pētīja jautājum</w:t>
      </w:r>
      <w:r w:rsidR="005D4749" w:rsidRPr="00026D80">
        <w:rPr>
          <w:rFonts w:ascii="Times New Roman" w:hAnsi="Times New Roman" w:cs="Times New Roman"/>
          <w:sz w:val="28"/>
          <w:szCs w:val="28"/>
        </w:rPr>
        <w:t>u</w:t>
      </w:r>
      <w:r w:rsidR="00BC4743" w:rsidRPr="00026D80">
        <w:rPr>
          <w:rFonts w:ascii="Times New Roman" w:hAnsi="Times New Roman" w:cs="Times New Roman"/>
          <w:sz w:val="28"/>
          <w:szCs w:val="28"/>
        </w:rPr>
        <w:t xml:space="preserve"> par </w:t>
      </w:r>
      <w:r w:rsidR="005D4749" w:rsidRPr="00026D80">
        <w:rPr>
          <w:rFonts w:ascii="Times New Roman" w:hAnsi="Times New Roman" w:cs="Times New Roman"/>
          <w:sz w:val="28"/>
          <w:szCs w:val="28"/>
        </w:rPr>
        <w:t>PV</w:t>
      </w:r>
      <w:r w:rsidR="00BC4743" w:rsidRPr="00026D80">
        <w:rPr>
          <w:rFonts w:ascii="Times New Roman" w:hAnsi="Times New Roman" w:cs="Times New Roman"/>
          <w:sz w:val="28"/>
          <w:szCs w:val="28"/>
        </w:rPr>
        <w:t xml:space="preserve"> aprēķin</w:t>
      </w:r>
      <w:r w:rsidR="005D4749" w:rsidRPr="00026D80">
        <w:rPr>
          <w:rFonts w:ascii="Times New Roman" w:hAnsi="Times New Roman" w:cs="Times New Roman"/>
          <w:sz w:val="28"/>
          <w:szCs w:val="28"/>
        </w:rPr>
        <w:t>u</w:t>
      </w:r>
      <w:r w:rsidR="00BC4743" w:rsidRPr="00026D80">
        <w:rPr>
          <w:rFonts w:ascii="Times New Roman" w:hAnsi="Times New Roman" w:cs="Times New Roman"/>
          <w:sz w:val="28"/>
          <w:szCs w:val="28"/>
        </w:rPr>
        <w:t xml:space="preserve"> </w:t>
      </w:r>
      <w:r w:rsidR="005D4749" w:rsidRPr="00026D80">
        <w:rPr>
          <w:rFonts w:ascii="Times New Roman" w:hAnsi="Times New Roman" w:cs="Times New Roman"/>
          <w:sz w:val="28"/>
          <w:szCs w:val="28"/>
        </w:rPr>
        <w:t xml:space="preserve">iespējamību </w:t>
      </w:r>
      <w:r w:rsidR="00BC4743" w:rsidRPr="00026D80">
        <w:rPr>
          <w:rFonts w:ascii="Times New Roman" w:hAnsi="Times New Roman" w:cs="Times New Roman"/>
          <w:sz w:val="28"/>
          <w:szCs w:val="28"/>
        </w:rPr>
        <w:t>repub</w:t>
      </w:r>
      <w:r w:rsidR="00AB25D7" w:rsidRPr="00026D80">
        <w:rPr>
          <w:rFonts w:ascii="Times New Roman" w:hAnsi="Times New Roman" w:cs="Times New Roman"/>
          <w:sz w:val="28"/>
          <w:szCs w:val="28"/>
        </w:rPr>
        <w:t>likas pilsētu un rajonu līmenī. Darba grupas secināja, ka</w:t>
      </w:r>
      <w:r w:rsidR="005D4749" w:rsidRPr="00026D80">
        <w:rPr>
          <w:rFonts w:ascii="Times New Roman" w:hAnsi="Times New Roman" w:cs="Times New Roman"/>
          <w:sz w:val="28"/>
          <w:szCs w:val="28"/>
        </w:rPr>
        <w:t xml:space="preserve"> n</w:t>
      </w:r>
      <w:r w:rsidR="00BC4743" w:rsidRPr="00026D80">
        <w:rPr>
          <w:rFonts w:ascii="Times New Roman" w:hAnsi="Times New Roman" w:cs="Times New Roman"/>
          <w:sz w:val="28"/>
          <w:szCs w:val="28"/>
        </w:rPr>
        <w:t xml:space="preserve">av iespējams veikt </w:t>
      </w:r>
      <w:r w:rsidR="005D4749" w:rsidRPr="00026D80">
        <w:rPr>
          <w:rFonts w:ascii="Times New Roman" w:hAnsi="Times New Roman" w:cs="Times New Roman"/>
          <w:sz w:val="28"/>
          <w:szCs w:val="28"/>
        </w:rPr>
        <w:t>PV</w:t>
      </w:r>
      <w:r w:rsidR="00BC4743" w:rsidRPr="00026D80">
        <w:rPr>
          <w:rFonts w:ascii="Times New Roman" w:hAnsi="Times New Roman" w:cs="Times New Roman"/>
          <w:sz w:val="28"/>
          <w:szCs w:val="28"/>
        </w:rPr>
        <w:t xml:space="preserve"> </w:t>
      </w:r>
      <w:r w:rsidR="005D4749" w:rsidRPr="00026D80">
        <w:rPr>
          <w:rFonts w:ascii="Times New Roman" w:hAnsi="Times New Roman" w:cs="Times New Roman"/>
          <w:sz w:val="28"/>
          <w:szCs w:val="28"/>
        </w:rPr>
        <w:t xml:space="preserve">(un attiecīgi IKP) </w:t>
      </w:r>
      <w:r w:rsidR="00BC4743" w:rsidRPr="00026D80">
        <w:rPr>
          <w:rFonts w:ascii="Times New Roman" w:hAnsi="Times New Roman" w:cs="Times New Roman"/>
          <w:sz w:val="28"/>
          <w:szCs w:val="28"/>
        </w:rPr>
        <w:t>aprēķinu republikas pilsētu un rajonu griezumā</w:t>
      </w:r>
      <w:r w:rsidR="00850070" w:rsidRPr="00026D80">
        <w:rPr>
          <w:rFonts w:ascii="Times New Roman" w:hAnsi="Times New Roman" w:cs="Times New Roman"/>
          <w:sz w:val="28"/>
          <w:szCs w:val="28"/>
        </w:rPr>
        <w:t xml:space="preserve">, </w:t>
      </w:r>
      <w:r w:rsidR="002C6E32" w:rsidRPr="00026D80">
        <w:rPr>
          <w:rFonts w:ascii="Times New Roman" w:hAnsi="Times New Roman" w:cs="Times New Roman"/>
          <w:sz w:val="28"/>
          <w:szCs w:val="28"/>
        </w:rPr>
        <w:t xml:space="preserve">būtiski </w:t>
      </w:r>
      <w:r w:rsidR="00850070" w:rsidRPr="00026D80">
        <w:rPr>
          <w:rFonts w:ascii="Times New Roman" w:hAnsi="Times New Roman" w:cs="Times New Roman"/>
          <w:sz w:val="28"/>
          <w:szCs w:val="28"/>
        </w:rPr>
        <w:t xml:space="preserve">nepalielinot respondentu </w:t>
      </w:r>
      <w:r w:rsidR="00FA0DC6" w:rsidRPr="00026D80">
        <w:rPr>
          <w:rFonts w:ascii="Times New Roman" w:hAnsi="Times New Roman" w:cs="Times New Roman"/>
          <w:sz w:val="28"/>
          <w:szCs w:val="28"/>
        </w:rPr>
        <w:t>no</w:t>
      </w:r>
      <w:r w:rsidR="00850070" w:rsidRPr="00026D80">
        <w:rPr>
          <w:rFonts w:ascii="Times New Roman" w:hAnsi="Times New Roman" w:cs="Times New Roman"/>
          <w:sz w:val="28"/>
          <w:szCs w:val="28"/>
        </w:rPr>
        <w:t>slodzi</w:t>
      </w:r>
      <w:r w:rsidR="002C6E32" w:rsidRPr="00026D80">
        <w:rPr>
          <w:rFonts w:ascii="Times New Roman" w:hAnsi="Times New Roman" w:cs="Times New Roman"/>
          <w:sz w:val="28"/>
          <w:szCs w:val="28"/>
        </w:rPr>
        <w:t>.</w:t>
      </w:r>
      <w:r w:rsidR="00AA61B0" w:rsidRPr="00026D80">
        <w:rPr>
          <w:rFonts w:ascii="Times New Roman" w:hAnsi="Times New Roman" w:cs="Times New Roman"/>
          <w:sz w:val="28"/>
          <w:szCs w:val="28"/>
        </w:rPr>
        <w:t xml:space="preserve"> Un ka nav iespējams aprēķinu realizēt to tādā laika posmā, kas atbilst šo rādītāju izmantošanas mērķim – veikt republikas pilsētu un rajonu ekonomiskās attīstības operatīvu novērtējumu un realizēt investīciju reālo plānošanu pa teritorijām.</w:t>
      </w:r>
    </w:p>
    <w:p w:rsidR="005142DF" w:rsidRPr="00026D80" w:rsidRDefault="00A40161" w:rsidP="00026D80">
      <w:pPr>
        <w:spacing w:after="60" w:line="240" w:lineRule="auto"/>
        <w:ind w:firstLine="720"/>
        <w:jc w:val="both"/>
        <w:rPr>
          <w:rFonts w:ascii="Times New Roman" w:hAnsi="Times New Roman" w:cs="Times New Roman"/>
          <w:sz w:val="28"/>
          <w:szCs w:val="28"/>
        </w:rPr>
      </w:pPr>
      <w:r w:rsidRPr="00026D80">
        <w:rPr>
          <w:rFonts w:ascii="Times New Roman" w:hAnsi="Times New Roman" w:cs="Times New Roman"/>
          <w:sz w:val="28"/>
          <w:szCs w:val="28"/>
        </w:rPr>
        <w:t>Savukārt 2010.gadā, pamatojoties uz Pārvaldes 2010.gada 29.decembra rīkojumu Nr.105</w:t>
      </w:r>
      <w:r w:rsidR="003F2509" w:rsidRPr="00026D80">
        <w:rPr>
          <w:rFonts w:ascii="Times New Roman" w:hAnsi="Times New Roman" w:cs="Times New Roman"/>
          <w:sz w:val="28"/>
          <w:szCs w:val="28"/>
        </w:rPr>
        <w:t>,</w:t>
      </w:r>
      <w:r w:rsidRPr="00026D80">
        <w:rPr>
          <w:rFonts w:ascii="Times New Roman" w:hAnsi="Times New Roman" w:cs="Times New Roman"/>
          <w:sz w:val="28"/>
          <w:szCs w:val="28"/>
        </w:rPr>
        <w:t xml:space="preserve"> tika izveidota darba grupa, kura </w:t>
      </w:r>
      <w:r w:rsidR="00F24764" w:rsidRPr="00026D80">
        <w:rPr>
          <w:rFonts w:ascii="Times New Roman" w:hAnsi="Times New Roman" w:cs="Times New Roman"/>
          <w:sz w:val="28"/>
          <w:szCs w:val="28"/>
        </w:rPr>
        <w:t xml:space="preserve">2011.gadā </w:t>
      </w:r>
      <w:r w:rsidRPr="00026D80">
        <w:rPr>
          <w:rFonts w:ascii="Times New Roman" w:hAnsi="Times New Roman" w:cs="Times New Roman"/>
          <w:sz w:val="28"/>
          <w:szCs w:val="28"/>
        </w:rPr>
        <w:t>sagatavoja informatīvo ziņojumu</w:t>
      </w:r>
      <w:r w:rsidR="00432D35" w:rsidRPr="00026D80">
        <w:rPr>
          <w:rFonts w:ascii="Times New Roman" w:hAnsi="Times New Roman" w:cs="Times New Roman"/>
          <w:sz w:val="28"/>
          <w:szCs w:val="28"/>
        </w:rPr>
        <w:t xml:space="preserve"> „Par pašvaldību interesējošiem rādītājiem, to iegūšanas iespēj</w:t>
      </w:r>
      <w:r w:rsidRPr="00026D80">
        <w:rPr>
          <w:rFonts w:ascii="Times New Roman" w:hAnsi="Times New Roman" w:cs="Times New Roman"/>
          <w:sz w:val="28"/>
          <w:szCs w:val="28"/>
        </w:rPr>
        <w:t>ām un nepiecie</w:t>
      </w:r>
      <w:r w:rsidR="00201226" w:rsidRPr="00026D80">
        <w:rPr>
          <w:rFonts w:ascii="Times New Roman" w:hAnsi="Times New Roman" w:cs="Times New Roman"/>
          <w:sz w:val="28"/>
          <w:szCs w:val="28"/>
        </w:rPr>
        <w:t>šamo finansējumu”. Darba grupā bij</w:t>
      </w:r>
      <w:r w:rsidRPr="00026D80">
        <w:rPr>
          <w:rFonts w:ascii="Times New Roman" w:hAnsi="Times New Roman" w:cs="Times New Roman"/>
          <w:sz w:val="28"/>
          <w:szCs w:val="28"/>
        </w:rPr>
        <w:t>a pārstāvēta Pārvalde, Latvijas Pašvaldību savienība, Latvijas Lielo pilsētu asociācija, Reģionālās attīstības un pašvaldību lietu ministrija, Valsts reģionālās attīstības aģentūra</w:t>
      </w:r>
      <w:r w:rsidR="00052126" w:rsidRPr="00026D80">
        <w:rPr>
          <w:rFonts w:ascii="Times New Roman" w:hAnsi="Times New Roman" w:cs="Times New Roman"/>
          <w:sz w:val="28"/>
          <w:szCs w:val="28"/>
        </w:rPr>
        <w:t xml:space="preserve"> un ieinteresētās pašvaldības.</w:t>
      </w:r>
      <w:r w:rsidR="005142DF" w:rsidRPr="00026D80">
        <w:rPr>
          <w:rFonts w:ascii="Times New Roman" w:hAnsi="Times New Roman" w:cs="Times New Roman"/>
          <w:sz w:val="28"/>
          <w:szCs w:val="28"/>
        </w:rPr>
        <w:t xml:space="preserve"> Darba grupas diskusiju rezultātā tika izveidoti trīs rādītāju saraksti:</w:t>
      </w:r>
    </w:p>
    <w:p w:rsidR="005142DF" w:rsidRPr="00026D80" w:rsidRDefault="00432EC4" w:rsidP="00026D80">
      <w:pPr>
        <w:numPr>
          <w:ilvl w:val="0"/>
          <w:numId w:val="8"/>
        </w:numPr>
        <w:tabs>
          <w:tab w:val="clear" w:pos="360"/>
        </w:tabs>
        <w:spacing w:after="60" w:line="240" w:lineRule="auto"/>
        <w:ind w:left="1418" w:hanging="425"/>
        <w:jc w:val="both"/>
        <w:rPr>
          <w:rFonts w:ascii="Times New Roman" w:hAnsi="Times New Roman" w:cs="Times New Roman"/>
          <w:sz w:val="28"/>
          <w:szCs w:val="28"/>
        </w:rPr>
      </w:pPr>
      <w:r w:rsidRPr="00026D80">
        <w:rPr>
          <w:rFonts w:ascii="Times New Roman" w:hAnsi="Times New Roman" w:cs="Times New Roman"/>
          <w:sz w:val="28"/>
          <w:szCs w:val="28"/>
        </w:rPr>
        <w:t>R</w:t>
      </w:r>
      <w:r w:rsidR="005142DF" w:rsidRPr="00026D80">
        <w:rPr>
          <w:rFonts w:ascii="Times New Roman" w:hAnsi="Times New Roman" w:cs="Times New Roman"/>
          <w:sz w:val="28"/>
          <w:szCs w:val="28"/>
        </w:rPr>
        <w:t>ādītāji, kurus datu ražotāji apņemas nodrošināt bez papildu finanšu resursu piešķiršanas;</w:t>
      </w:r>
    </w:p>
    <w:p w:rsidR="005142DF" w:rsidRPr="00026D80" w:rsidRDefault="00432EC4" w:rsidP="00026D80">
      <w:pPr>
        <w:numPr>
          <w:ilvl w:val="0"/>
          <w:numId w:val="8"/>
        </w:numPr>
        <w:tabs>
          <w:tab w:val="clear" w:pos="360"/>
        </w:tabs>
        <w:spacing w:after="60" w:line="240" w:lineRule="auto"/>
        <w:ind w:left="1418" w:hanging="425"/>
        <w:jc w:val="both"/>
        <w:rPr>
          <w:rFonts w:ascii="Times New Roman" w:hAnsi="Times New Roman" w:cs="Times New Roman"/>
          <w:sz w:val="28"/>
          <w:szCs w:val="28"/>
        </w:rPr>
      </w:pPr>
      <w:r w:rsidRPr="00026D80">
        <w:rPr>
          <w:rFonts w:ascii="Times New Roman" w:hAnsi="Times New Roman" w:cs="Times New Roman"/>
          <w:sz w:val="28"/>
          <w:szCs w:val="28"/>
        </w:rPr>
        <w:t>R</w:t>
      </w:r>
      <w:r w:rsidR="005142DF" w:rsidRPr="00026D80">
        <w:rPr>
          <w:rFonts w:ascii="Times New Roman" w:hAnsi="Times New Roman" w:cs="Times New Roman"/>
          <w:sz w:val="28"/>
          <w:szCs w:val="28"/>
        </w:rPr>
        <w:t>ādītāji, kuru iegūšanai nepieciešami papildu finanšu resursi;</w:t>
      </w:r>
    </w:p>
    <w:p w:rsidR="005142DF" w:rsidRPr="00026D80" w:rsidRDefault="00432EC4" w:rsidP="00026D80">
      <w:pPr>
        <w:numPr>
          <w:ilvl w:val="0"/>
          <w:numId w:val="8"/>
        </w:numPr>
        <w:tabs>
          <w:tab w:val="clear" w:pos="360"/>
        </w:tabs>
        <w:spacing w:after="60" w:line="240" w:lineRule="auto"/>
        <w:ind w:left="1418" w:hanging="425"/>
        <w:jc w:val="both"/>
        <w:rPr>
          <w:rFonts w:ascii="Times New Roman" w:hAnsi="Times New Roman" w:cs="Times New Roman"/>
          <w:sz w:val="28"/>
          <w:szCs w:val="28"/>
        </w:rPr>
      </w:pPr>
      <w:r w:rsidRPr="00026D80">
        <w:rPr>
          <w:rFonts w:ascii="Times New Roman" w:hAnsi="Times New Roman" w:cs="Times New Roman"/>
          <w:sz w:val="28"/>
          <w:szCs w:val="28"/>
        </w:rPr>
        <w:t>R</w:t>
      </w:r>
      <w:r w:rsidR="005142DF" w:rsidRPr="00026D80">
        <w:rPr>
          <w:rFonts w:ascii="Times New Roman" w:hAnsi="Times New Roman" w:cs="Times New Roman"/>
          <w:sz w:val="28"/>
          <w:szCs w:val="28"/>
        </w:rPr>
        <w:t>ādītāji, kuru sagatavošana sīkākā teritoriālā detalizācijā atlikta uz laiku vai pavisam.</w:t>
      </w:r>
    </w:p>
    <w:p w:rsidR="00432D35" w:rsidRPr="00026D80" w:rsidRDefault="00850070" w:rsidP="00026D80">
      <w:pPr>
        <w:pStyle w:val="Default"/>
        <w:spacing w:after="100" w:afterAutospacing="1"/>
        <w:ind w:firstLine="720"/>
        <w:jc w:val="both"/>
        <w:rPr>
          <w:rFonts w:ascii="Times New Roman" w:hAnsi="Times New Roman" w:cs="Times New Roman"/>
          <w:bCs/>
          <w:color w:val="auto"/>
          <w:sz w:val="28"/>
          <w:szCs w:val="28"/>
        </w:rPr>
      </w:pPr>
      <w:r w:rsidRPr="00026D80">
        <w:rPr>
          <w:rFonts w:ascii="Times New Roman" w:hAnsi="Times New Roman" w:cs="Times New Roman"/>
          <w:color w:val="auto"/>
          <w:sz w:val="28"/>
          <w:szCs w:val="28"/>
        </w:rPr>
        <w:lastRenderedPageBreak/>
        <w:t>Darba grupas ziņojums tika iesniegts izskatīšanai Ministru kabinetā, atbilstoši pievienojot arī nepieciešamā finansējuma</w:t>
      </w:r>
      <w:r w:rsidR="00093A81" w:rsidRPr="00026D80">
        <w:rPr>
          <w:rFonts w:ascii="Times New Roman" w:hAnsi="Times New Roman" w:cs="Times New Roman"/>
          <w:color w:val="auto"/>
          <w:sz w:val="28"/>
          <w:szCs w:val="28"/>
        </w:rPr>
        <w:t xml:space="preserve"> pieprasījumu</w:t>
      </w:r>
      <w:r w:rsidRPr="00026D80">
        <w:rPr>
          <w:rFonts w:ascii="Times New Roman" w:hAnsi="Times New Roman" w:cs="Times New Roman"/>
          <w:color w:val="auto"/>
          <w:sz w:val="28"/>
          <w:szCs w:val="28"/>
        </w:rPr>
        <w:t xml:space="preserve"> papildu</w:t>
      </w:r>
      <w:r w:rsidR="003D101F" w:rsidRPr="00026D80">
        <w:rPr>
          <w:rFonts w:ascii="Times New Roman" w:hAnsi="Times New Roman" w:cs="Times New Roman"/>
          <w:color w:val="auto"/>
          <w:sz w:val="28"/>
          <w:szCs w:val="28"/>
        </w:rPr>
        <w:t>s</w:t>
      </w:r>
      <w:r w:rsidRPr="00026D80">
        <w:rPr>
          <w:rFonts w:ascii="Times New Roman" w:hAnsi="Times New Roman" w:cs="Times New Roman"/>
          <w:color w:val="auto"/>
          <w:sz w:val="28"/>
          <w:szCs w:val="28"/>
        </w:rPr>
        <w:t xml:space="preserve"> statistisko rādītāju </w:t>
      </w:r>
      <w:r w:rsidRPr="00026D80">
        <w:rPr>
          <w:rFonts w:ascii="Times New Roman" w:hAnsi="Times New Roman" w:cs="Times New Roman"/>
          <w:bCs/>
          <w:color w:val="auto"/>
          <w:sz w:val="28"/>
          <w:szCs w:val="28"/>
        </w:rPr>
        <w:t>(tostarp arī IKP un PV pa republikas</w:t>
      </w:r>
      <w:r w:rsidRPr="00026D80">
        <w:rPr>
          <w:rFonts w:ascii="Times New Roman" w:hAnsi="Times New Roman" w:cs="Times New Roman"/>
          <w:color w:val="auto"/>
          <w:sz w:val="28"/>
          <w:szCs w:val="28"/>
        </w:rPr>
        <w:t xml:space="preserve"> </w:t>
      </w:r>
      <w:r w:rsidR="00093A81" w:rsidRPr="00026D80">
        <w:rPr>
          <w:rFonts w:ascii="Times New Roman" w:hAnsi="Times New Roman" w:cs="Times New Roman"/>
          <w:bCs/>
          <w:color w:val="auto"/>
          <w:sz w:val="28"/>
          <w:szCs w:val="28"/>
        </w:rPr>
        <w:t xml:space="preserve">pilsētām) </w:t>
      </w:r>
      <w:r w:rsidRPr="00026D80">
        <w:rPr>
          <w:rFonts w:ascii="Times New Roman" w:hAnsi="Times New Roman" w:cs="Times New Roman"/>
          <w:color w:val="auto"/>
          <w:sz w:val="28"/>
          <w:szCs w:val="28"/>
        </w:rPr>
        <w:t>iegūšanai</w:t>
      </w:r>
      <w:r w:rsidR="00432D35" w:rsidRPr="00026D80">
        <w:rPr>
          <w:rFonts w:ascii="Times New Roman" w:hAnsi="Times New Roman" w:cs="Times New Roman"/>
          <w:bCs/>
          <w:color w:val="auto"/>
          <w:sz w:val="28"/>
          <w:szCs w:val="28"/>
        </w:rPr>
        <w:t>.</w:t>
      </w:r>
      <w:r w:rsidRPr="00026D80">
        <w:rPr>
          <w:rFonts w:ascii="Times New Roman" w:hAnsi="Times New Roman" w:cs="Times New Roman"/>
          <w:bCs/>
          <w:color w:val="auto"/>
          <w:sz w:val="28"/>
          <w:szCs w:val="28"/>
        </w:rPr>
        <w:t xml:space="preserve"> Papildus finansējuma pieprasījums Ministru </w:t>
      </w:r>
      <w:r w:rsidR="003D101F" w:rsidRPr="00026D80">
        <w:rPr>
          <w:rFonts w:ascii="Times New Roman" w:hAnsi="Times New Roman" w:cs="Times New Roman"/>
          <w:bCs/>
          <w:color w:val="auto"/>
          <w:sz w:val="28"/>
          <w:szCs w:val="28"/>
        </w:rPr>
        <w:t>k</w:t>
      </w:r>
      <w:r w:rsidRPr="00026D80">
        <w:rPr>
          <w:rFonts w:ascii="Times New Roman" w:hAnsi="Times New Roman" w:cs="Times New Roman"/>
          <w:bCs/>
          <w:color w:val="auto"/>
          <w:sz w:val="28"/>
          <w:szCs w:val="28"/>
        </w:rPr>
        <w:t>abinetā netika atbalstīts.</w:t>
      </w:r>
    </w:p>
    <w:p w:rsidR="006F2B56" w:rsidRPr="00026D80" w:rsidRDefault="00B53241" w:rsidP="00026D80">
      <w:pPr>
        <w:pStyle w:val="Default"/>
        <w:spacing w:before="100" w:beforeAutospacing="1" w:after="100" w:afterAutospacing="1"/>
        <w:ind w:firstLine="720"/>
        <w:jc w:val="both"/>
        <w:rPr>
          <w:rFonts w:ascii="Times New Roman" w:hAnsi="Times New Roman" w:cs="Times New Roman"/>
          <w:bCs/>
          <w:color w:val="auto"/>
          <w:sz w:val="28"/>
          <w:szCs w:val="28"/>
        </w:rPr>
      </w:pPr>
      <w:r w:rsidRPr="00026D80">
        <w:rPr>
          <w:rFonts w:ascii="Times New Roman" w:hAnsi="Times New Roman" w:cs="Times New Roman"/>
          <w:color w:val="auto"/>
          <w:sz w:val="28"/>
          <w:szCs w:val="28"/>
        </w:rPr>
        <w:t>Programmā IKP un PV teritoriālā detalizācija ir noteikta</w:t>
      </w:r>
      <w:r w:rsidR="000415A1" w:rsidRPr="00026D80">
        <w:rPr>
          <w:rFonts w:ascii="Times New Roman" w:hAnsi="Times New Roman" w:cs="Times New Roman"/>
          <w:color w:val="auto"/>
          <w:sz w:val="28"/>
          <w:szCs w:val="28"/>
        </w:rPr>
        <w:t>,</w:t>
      </w:r>
      <w:r w:rsidRPr="00026D80">
        <w:rPr>
          <w:rFonts w:ascii="Times New Roman" w:hAnsi="Times New Roman" w:cs="Times New Roman"/>
          <w:color w:val="auto"/>
          <w:sz w:val="28"/>
          <w:szCs w:val="28"/>
        </w:rPr>
        <w:t xml:space="preserve"> ņemot vērā Eiropas Parlamenta un Padomes regulas par Eiropas nacionālo un reģionālo kontu sistēmu Eiropas Savienībā</w:t>
      </w:r>
      <w:r w:rsidR="00432D35" w:rsidRPr="00026D80">
        <w:rPr>
          <w:rStyle w:val="FootnoteReference"/>
          <w:rFonts w:ascii="Times New Roman" w:hAnsi="Times New Roman" w:cs="Times New Roman"/>
          <w:color w:val="auto"/>
          <w:sz w:val="28"/>
          <w:szCs w:val="28"/>
        </w:rPr>
        <w:footnoteReference w:id="2"/>
      </w:r>
      <w:r w:rsidRPr="00026D80">
        <w:rPr>
          <w:rFonts w:ascii="Times New Roman" w:hAnsi="Times New Roman" w:cs="Times New Roman"/>
          <w:color w:val="auto"/>
          <w:sz w:val="28"/>
          <w:szCs w:val="28"/>
        </w:rPr>
        <w:t xml:space="preserve"> (turp</w:t>
      </w:r>
      <w:r w:rsidR="00F532A4" w:rsidRPr="00026D80">
        <w:rPr>
          <w:rFonts w:ascii="Times New Roman" w:hAnsi="Times New Roman" w:cs="Times New Roman"/>
          <w:color w:val="auto"/>
          <w:sz w:val="28"/>
          <w:szCs w:val="28"/>
        </w:rPr>
        <w:t>māk</w:t>
      </w:r>
      <w:r w:rsidR="00550256" w:rsidRPr="00026D80">
        <w:rPr>
          <w:rFonts w:ascii="Times New Roman" w:hAnsi="Times New Roman" w:cs="Times New Roman"/>
          <w:color w:val="auto"/>
          <w:sz w:val="28"/>
          <w:szCs w:val="28"/>
        </w:rPr>
        <w:t xml:space="preserve"> </w:t>
      </w:r>
      <w:r w:rsidR="00F532A4" w:rsidRPr="00026D80">
        <w:rPr>
          <w:rFonts w:ascii="Times New Roman" w:hAnsi="Times New Roman" w:cs="Times New Roman"/>
          <w:color w:val="auto"/>
          <w:sz w:val="28"/>
          <w:szCs w:val="28"/>
        </w:rPr>
        <w:t xml:space="preserve">– EKS 2010) prasības. </w:t>
      </w:r>
      <w:r w:rsidR="00F45CE0" w:rsidRPr="00026D80">
        <w:rPr>
          <w:rFonts w:ascii="Times New Roman" w:hAnsi="Times New Roman" w:cs="Times New Roman"/>
          <w:color w:val="auto"/>
          <w:sz w:val="28"/>
          <w:szCs w:val="28"/>
        </w:rPr>
        <w:t xml:space="preserve">Atbilstoši </w:t>
      </w:r>
      <w:r w:rsidR="00937864" w:rsidRPr="00026D80">
        <w:rPr>
          <w:rFonts w:ascii="Times New Roman" w:hAnsi="Times New Roman" w:cs="Times New Roman"/>
          <w:bCs/>
          <w:color w:val="auto"/>
          <w:sz w:val="28"/>
          <w:szCs w:val="28"/>
        </w:rPr>
        <w:t>EKS 2010</w:t>
      </w:r>
      <w:r w:rsidR="00F45CE0" w:rsidRPr="00026D80">
        <w:rPr>
          <w:rFonts w:ascii="Times New Roman" w:hAnsi="Times New Roman" w:cs="Times New Roman"/>
          <w:bCs/>
          <w:color w:val="auto"/>
          <w:sz w:val="28"/>
          <w:szCs w:val="28"/>
        </w:rPr>
        <w:t xml:space="preserve"> prasībām</w:t>
      </w:r>
      <w:r w:rsidR="00853B37" w:rsidRPr="00026D80">
        <w:rPr>
          <w:rFonts w:ascii="Times New Roman" w:hAnsi="Times New Roman" w:cs="Times New Roman"/>
          <w:bCs/>
          <w:color w:val="auto"/>
          <w:sz w:val="28"/>
          <w:szCs w:val="28"/>
        </w:rPr>
        <w:t xml:space="preserve"> </w:t>
      </w:r>
      <w:r w:rsidR="00937864" w:rsidRPr="00026D80">
        <w:rPr>
          <w:rFonts w:ascii="Times New Roman" w:hAnsi="Times New Roman" w:cs="Times New Roman"/>
          <w:bCs/>
          <w:color w:val="auto"/>
          <w:sz w:val="28"/>
          <w:szCs w:val="28"/>
        </w:rPr>
        <w:t>(B</w:t>
      </w:r>
      <w:r w:rsidR="00C45FC1" w:rsidRPr="00026D80">
        <w:rPr>
          <w:rFonts w:ascii="Times New Roman" w:hAnsi="Times New Roman" w:cs="Times New Roman"/>
          <w:bCs/>
          <w:color w:val="auto"/>
          <w:sz w:val="28"/>
          <w:szCs w:val="28"/>
        </w:rPr>
        <w:t> </w:t>
      </w:r>
      <w:r w:rsidR="00937864" w:rsidRPr="00026D80">
        <w:rPr>
          <w:rFonts w:ascii="Times New Roman" w:hAnsi="Times New Roman" w:cs="Times New Roman"/>
          <w:bCs/>
          <w:color w:val="auto"/>
          <w:sz w:val="28"/>
          <w:szCs w:val="28"/>
        </w:rPr>
        <w:t>pielikumam),</w:t>
      </w:r>
      <w:r w:rsidR="00113580" w:rsidRPr="00026D80">
        <w:rPr>
          <w:rFonts w:ascii="Times New Roman" w:hAnsi="Times New Roman" w:cs="Times New Roman"/>
          <w:bCs/>
          <w:color w:val="auto"/>
          <w:sz w:val="28"/>
          <w:szCs w:val="28"/>
        </w:rPr>
        <w:t xml:space="preserve"> valst</w:t>
      </w:r>
      <w:r w:rsidR="006F2B56" w:rsidRPr="00026D80">
        <w:rPr>
          <w:rFonts w:ascii="Times New Roman" w:hAnsi="Times New Roman" w:cs="Times New Roman"/>
          <w:bCs/>
          <w:color w:val="auto"/>
          <w:sz w:val="28"/>
          <w:szCs w:val="28"/>
        </w:rPr>
        <w:t>is</w:t>
      </w:r>
      <w:r w:rsidR="00113580" w:rsidRPr="00026D80">
        <w:rPr>
          <w:rFonts w:ascii="Times New Roman" w:hAnsi="Times New Roman" w:cs="Times New Roman"/>
          <w:bCs/>
          <w:color w:val="auto"/>
          <w:sz w:val="28"/>
          <w:szCs w:val="28"/>
        </w:rPr>
        <w:t xml:space="preserve"> nacionālo kontu rādītāj</w:t>
      </w:r>
      <w:r w:rsidR="006F2B56" w:rsidRPr="00026D80">
        <w:rPr>
          <w:rFonts w:ascii="Times New Roman" w:hAnsi="Times New Roman" w:cs="Times New Roman"/>
          <w:bCs/>
          <w:color w:val="auto"/>
          <w:sz w:val="28"/>
          <w:szCs w:val="28"/>
        </w:rPr>
        <w:t>us</w:t>
      </w:r>
      <w:r w:rsidR="00113580" w:rsidRPr="00026D80">
        <w:rPr>
          <w:rFonts w:ascii="Times New Roman" w:hAnsi="Times New Roman" w:cs="Times New Roman"/>
          <w:bCs/>
          <w:color w:val="auto"/>
          <w:sz w:val="28"/>
          <w:szCs w:val="28"/>
        </w:rPr>
        <w:t xml:space="preserve"> </w:t>
      </w:r>
      <w:r w:rsidR="006F2B56" w:rsidRPr="00026D80">
        <w:rPr>
          <w:rFonts w:ascii="Times New Roman" w:hAnsi="Times New Roman" w:cs="Times New Roman"/>
          <w:bCs/>
          <w:color w:val="auto"/>
          <w:sz w:val="28"/>
          <w:szCs w:val="28"/>
        </w:rPr>
        <w:t xml:space="preserve">sagatavo </w:t>
      </w:r>
      <w:r w:rsidR="00113580" w:rsidRPr="00026D80">
        <w:rPr>
          <w:rFonts w:ascii="Times New Roman" w:hAnsi="Times New Roman" w:cs="Times New Roman"/>
          <w:bCs/>
          <w:color w:val="auto"/>
          <w:sz w:val="28"/>
          <w:szCs w:val="28"/>
        </w:rPr>
        <w:t>reģionu dalījumā atbilstoši Kopējai statistiski teritoriālo vienību klasifikācijai</w:t>
      </w:r>
      <w:r w:rsidR="00F94A2D" w:rsidRPr="00026D80">
        <w:rPr>
          <w:rStyle w:val="FootnoteReference"/>
          <w:rFonts w:ascii="Times New Roman" w:hAnsi="Times New Roman" w:cs="Times New Roman"/>
          <w:bCs/>
          <w:color w:val="auto"/>
          <w:sz w:val="28"/>
          <w:szCs w:val="28"/>
        </w:rPr>
        <w:footnoteReference w:id="3"/>
      </w:r>
      <w:r w:rsidR="00113580" w:rsidRPr="00026D80">
        <w:rPr>
          <w:rFonts w:ascii="Times New Roman" w:hAnsi="Times New Roman" w:cs="Times New Roman"/>
          <w:bCs/>
          <w:color w:val="auto"/>
          <w:sz w:val="28"/>
          <w:szCs w:val="28"/>
        </w:rPr>
        <w:t xml:space="preserve"> (NUTS) – gan NUTS 2 (</w:t>
      </w:r>
      <w:r w:rsidR="00744BDC" w:rsidRPr="00026D80">
        <w:rPr>
          <w:rFonts w:ascii="Times New Roman" w:hAnsi="Times New Roman" w:cs="Times New Roman"/>
          <w:bCs/>
          <w:color w:val="auto"/>
          <w:sz w:val="28"/>
          <w:szCs w:val="28"/>
        </w:rPr>
        <w:t xml:space="preserve">Latvijas gadījumā tā ir </w:t>
      </w:r>
      <w:r w:rsidR="00113580" w:rsidRPr="00026D80">
        <w:rPr>
          <w:rFonts w:ascii="Times New Roman" w:hAnsi="Times New Roman" w:cs="Times New Roman"/>
          <w:bCs/>
          <w:color w:val="auto"/>
          <w:sz w:val="28"/>
          <w:szCs w:val="28"/>
        </w:rPr>
        <w:t>visa valsts teritorija), gan NUTS 3 (</w:t>
      </w:r>
      <w:r w:rsidR="00201226" w:rsidRPr="00026D80">
        <w:rPr>
          <w:rFonts w:ascii="Times New Roman" w:hAnsi="Times New Roman" w:cs="Times New Roman"/>
          <w:bCs/>
          <w:color w:val="auto"/>
          <w:sz w:val="28"/>
          <w:szCs w:val="28"/>
        </w:rPr>
        <w:t xml:space="preserve">Latvijā - </w:t>
      </w:r>
      <w:r w:rsidR="00113580" w:rsidRPr="00026D80">
        <w:rPr>
          <w:rFonts w:ascii="Times New Roman" w:hAnsi="Times New Roman" w:cs="Times New Roman"/>
          <w:bCs/>
          <w:color w:val="auto"/>
          <w:sz w:val="28"/>
          <w:szCs w:val="28"/>
        </w:rPr>
        <w:t>seši statistiskie reģioni) līmenī.</w:t>
      </w:r>
      <w:r w:rsidR="001A0FCC" w:rsidRPr="00026D80">
        <w:rPr>
          <w:rFonts w:ascii="Times New Roman" w:hAnsi="Times New Roman" w:cs="Times New Roman"/>
          <w:bCs/>
          <w:color w:val="auto"/>
          <w:sz w:val="28"/>
          <w:szCs w:val="28"/>
        </w:rPr>
        <w:t xml:space="preserve"> NUTS līmeni nosaka, balstoties uz iedzīvotāju skaitu teritorijā. Attiecīgi NUTS 2 līmenim minimālais slieksnis ir 800 tūkst. un maksimālais 3 milj., NUTS 3 līmenim – 150 tūkst. un 800 tūkst. iedzīvotāji.</w:t>
      </w:r>
    </w:p>
    <w:p w:rsidR="00EE2CB0" w:rsidRPr="00026D80" w:rsidRDefault="00201226" w:rsidP="00026D80">
      <w:pPr>
        <w:pStyle w:val="Default"/>
        <w:spacing w:before="100" w:beforeAutospacing="1" w:after="100" w:afterAutospacing="1"/>
        <w:ind w:firstLine="720"/>
        <w:jc w:val="both"/>
        <w:rPr>
          <w:rFonts w:ascii="Times New Roman" w:hAnsi="Times New Roman" w:cs="Times New Roman"/>
          <w:bCs/>
          <w:color w:val="auto"/>
          <w:sz w:val="28"/>
          <w:szCs w:val="28"/>
          <w:highlight w:val="yellow"/>
        </w:rPr>
      </w:pPr>
      <w:r w:rsidRPr="00026D80">
        <w:rPr>
          <w:rFonts w:ascii="Times New Roman" w:hAnsi="Times New Roman" w:cs="Times New Roman"/>
          <w:bCs/>
          <w:color w:val="auto"/>
          <w:sz w:val="28"/>
          <w:szCs w:val="28"/>
        </w:rPr>
        <w:t>Pārvalde, izvērtējot datu kvalitāti un iekšzemes lietotāju vajadzības, PV pa sešiem statistiskajiem reģioniem Pārvaldes datu bāzē jau tagad publicē sīkāk nekā to paredz EKS 2010, t.i., nevis pa Saimniecisko darbību statistiskās klasifikācijas</w:t>
      </w:r>
      <w:r w:rsidRPr="00026D80">
        <w:rPr>
          <w:rStyle w:val="FootnoteReference"/>
          <w:rFonts w:ascii="Times New Roman" w:hAnsi="Times New Roman" w:cs="Times New Roman"/>
          <w:bCs/>
          <w:color w:val="auto"/>
          <w:sz w:val="28"/>
          <w:szCs w:val="28"/>
        </w:rPr>
        <w:footnoteReference w:id="4"/>
      </w:r>
      <w:r w:rsidRPr="00026D80">
        <w:rPr>
          <w:rFonts w:ascii="Times New Roman" w:hAnsi="Times New Roman" w:cs="Times New Roman"/>
          <w:bCs/>
          <w:color w:val="auto"/>
          <w:sz w:val="28"/>
          <w:szCs w:val="28"/>
        </w:rPr>
        <w:t xml:space="preserve"> </w:t>
      </w:r>
      <w:r w:rsidR="00201A20" w:rsidRPr="00026D80">
        <w:rPr>
          <w:rFonts w:ascii="Times New Roman" w:hAnsi="Times New Roman" w:cs="Times New Roman"/>
          <w:bCs/>
          <w:color w:val="auto"/>
          <w:sz w:val="28"/>
          <w:szCs w:val="28"/>
        </w:rPr>
        <w:t>(turpmāk</w:t>
      </w:r>
      <w:proofErr w:type="gramStart"/>
      <w:r w:rsidR="00201A20" w:rsidRPr="00026D80">
        <w:rPr>
          <w:rFonts w:ascii="Times New Roman" w:hAnsi="Times New Roman" w:cs="Times New Roman"/>
          <w:bCs/>
          <w:color w:val="auto"/>
          <w:sz w:val="28"/>
          <w:szCs w:val="28"/>
        </w:rPr>
        <w:t xml:space="preserve">  </w:t>
      </w:r>
      <w:proofErr w:type="gramEnd"/>
      <w:r w:rsidR="00201A20" w:rsidRPr="00026D80">
        <w:rPr>
          <w:rFonts w:ascii="Times New Roman" w:hAnsi="Times New Roman" w:cs="Times New Roman"/>
          <w:bCs/>
          <w:color w:val="auto"/>
          <w:sz w:val="28"/>
          <w:szCs w:val="28"/>
        </w:rPr>
        <w:t xml:space="preserve">- NACE 2.red.) </w:t>
      </w:r>
      <w:r w:rsidRPr="00026D80">
        <w:rPr>
          <w:rFonts w:ascii="Times New Roman" w:hAnsi="Times New Roman" w:cs="Times New Roman"/>
          <w:bCs/>
          <w:color w:val="auto"/>
          <w:sz w:val="28"/>
          <w:szCs w:val="28"/>
        </w:rPr>
        <w:t xml:space="preserve">grupētām sadaļām jeb A*10 līmenī, bet NACE 2.red. sadaļu (burtu) līmenī (NACE sadaļu un grupēto sadaļu atšifrējumu skat. 1.pielikumā). </w:t>
      </w:r>
      <w:r w:rsidR="00113580" w:rsidRPr="00026D80">
        <w:rPr>
          <w:rFonts w:ascii="Times New Roman" w:hAnsi="Times New Roman" w:cs="Times New Roman"/>
          <w:bCs/>
          <w:color w:val="auto"/>
          <w:sz w:val="28"/>
          <w:szCs w:val="28"/>
        </w:rPr>
        <w:t xml:space="preserve">EKS 2010 neparedz sīkāku teritoriālo detalizāciju </w:t>
      </w:r>
      <w:r w:rsidR="00744BDC" w:rsidRPr="00026D80">
        <w:rPr>
          <w:rFonts w:ascii="Times New Roman" w:hAnsi="Times New Roman" w:cs="Times New Roman"/>
          <w:bCs/>
          <w:color w:val="auto"/>
          <w:sz w:val="28"/>
          <w:szCs w:val="28"/>
        </w:rPr>
        <w:t xml:space="preserve">pārējo </w:t>
      </w:r>
      <w:r w:rsidR="00113580" w:rsidRPr="00026D80">
        <w:rPr>
          <w:rFonts w:ascii="Times New Roman" w:hAnsi="Times New Roman" w:cs="Times New Roman"/>
          <w:bCs/>
          <w:color w:val="auto"/>
          <w:sz w:val="28"/>
          <w:szCs w:val="28"/>
        </w:rPr>
        <w:t xml:space="preserve">republikas pilsētu </w:t>
      </w:r>
      <w:r w:rsidR="00744BDC" w:rsidRPr="00026D80">
        <w:rPr>
          <w:rFonts w:ascii="Times New Roman" w:hAnsi="Times New Roman" w:cs="Times New Roman"/>
          <w:bCs/>
          <w:color w:val="auto"/>
          <w:sz w:val="28"/>
          <w:szCs w:val="28"/>
        </w:rPr>
        <w:t>un/</w:t>
      </w:r>
      <w:r w:rsidR="00113580" w:rsidRPr="00026D80">
        <w:rPr>
          <w:rFonts w:ascii="Times New Roman" w:hAnsi="Times New Roman" w:cs="Times New Roman"/>
          <w:bCs/>
          <w:color w:val="auto"/>
          <w:sz w:val="28"/>
          <w:szCs w:val="28"/>
        </w:rPr>
        <w:t xml:space="preserve">vai atsevišķu novadu līmenī. </w:t>
      </w:r>
      <w:r w:rsidR="00C8422F" w:rsidRPr="00026D80">
        <w:rPr>
          <w:rFonts w:ascii="Times New Roman" w:hAnsi="Times New Roman" w:cs="Times New Roman"/>
          <w:bCs/>
          <w:color w:val="auto"/>
          <w:sz w:val="28"/>
          <w:szCs w:val="28"/>
        </w:rPr>
        <w:t>Ņemot vērā, ka Rīgas pilsēta</w:t>
      </w:r>
      <w:r w:rsidR="00544291" w:rsidRPr="00026D80">
        <w:rPr>
          <w:rFonts w:ascii="Times New Roman" w:hAnsi="Times New Roman" w:cs="Times New Roman"/>
          <w:bCs/>
          <w:color w:val="auto"/>
          <w:sz w:val="28"/>
          <w:szCs w:val="28"/>
        </w:rPr>
        <w:t xml:space="preserve"> atbilst NUTS 3 līmeņa kritērijam,</w:t>
      </w:r>
      <w:r w:rsidR="00F50A1A" w:rsidRPr="00026D80">
        <w:rPr>
          <w:rFonts w:ascii="Times New Roman" w:hAnsi="Times New Roman" w:cs="Times New Roman"/>
          <w:bCs/>
          <w:color w:val="auto"/>
          <w:sz w:val="28"/>
          <w:szCs w:val="28"/>
        </w:rPr>
        <w:t xml:space="preserve"> tāpēc</w:t>
      </w:r>
      <w:r w:rsidR="00544291" w:rsidRPr="00026D80">
        <w:rPr>
          <w:rFonts w:ascii="Times New Roman" w:hAnsi="Times New Roman" w:cs="Times New Roman"/>
          <w:bCs/>
          <w:color w:val="auto"/>
          <w:sz w:val="28"/>
          <w:szCs w:val="28"/>
        </w:rPr>
        <w:t xml:space="preserve"> tā ir</w:t>
      </w:r>
      <w:r w:rsidR="00C8422F" w:rsidRPr="00026D80">
        <w:rPr>
          <w:rFonts w:ascii="Times New Roman" w:hAnsi="Times New Roman" w:cs="Times New Roman"/>
          <w:bCs/>
          <w:color w:val="auto"/>
          <w:sz w:val="28"/>
          <w:szCs w:val="28"/>
        </w:rPr>
        <w:t xml:space="preserve"> atsevišķs stat</w:t>
      </w:r>
      <w:r w:rsidR="00544291" w:rsidRPr="00026D80">
        <w:rPr>
          <w:rFonts w:ascii="Times New Roman" w:hAnsi="Times New Roman" w:cs="Times New Roman"/>
          <w:bCs/>
          <w:color w:val="auto"/>
          <w:sz w:val="28"/>
          <w:szCs w:val="28"/>
        </w:rPr>
        <w:t>istiskais reģions NUTS 3 līmenī un</w:t>
      </w:r>
      <w:r w:rsidR="00C8422F" w:rsidRPr="00026D80">
        <w:rPr>
          <w:rFonts w:ascii="Times New Roman" w:hAnsi="Times New Roman" w:cs="Times New Roman"/>
          <w:bCs/>
          <w:color w:val="auto"/>
          <w:sz w:val="28"/>
          <w:szCs w:val="28"/>
        </w:rPr>
        <w:t xml:space="preserve"> vienīgā republikas pilsēta, par kuru tiek publicēti </w:t>
      </w:r>
      <w:r w:rsidR="00104F57" w:rsidRPr="00026D80">
        <w:rPr>
          <w:rFonts w:ascii="Times New Roman" w:hAnsi="Times New Roman" w:cs="Times New Roman"/>
          <w:color w:val="auto"/>
          <w:sz w:val="28"/>
          <w:szCs w:val="28"/>
        </w:rPr>
        <w:t>PV</w:t>
      </w:r>
      <w:r w:rsidR="00F044B7" w:rsidRPr="00026D80">
        <w:rPr>
          <w:rFonts w:ascii="Times New Roman" w:hAnsi="Times New Roman" w:cs="Times New Roman"/>
          <w:bCs/>
          <w:color w:val="auto"/>
          <w:sz w:val="28"/>
          <w:szCs w:val="28"/>
        </w:rPr>
        <w:t xml:space="preserve"> </w:t>
      </w:r>
      <w:r w:rsidR="00C8422F" w:rsidRPr="00026D80">
        <w:rPr>
          <w:rFonts w:ascii="Times New Roman" w:hAnsi="Times New Roman" w:cs="Times New Roman"/>
          <w:bCs/>
          <w:color w:val="auto"/>
          <w:sz w:val="28"/>
          <w:szCs w:val="28"/>
        </w:rPr>
        <w:t xml:space="preserve">un </w:t>
      </w:r>
      <w:r w:rsidR="00104F57" w:rsidRPr="00026D80">
        <w:rPr>
          <w:rFonts w:ascii="Times New Roman" w:hAnsi="Times New Roman" w:cs="Times New Roman"/>
          <w:color w:val="auto"/>
          <w:sz w:val="28"/>
          <w:szCs w:val="28"/>
        </w:rPr>
        <w:t>IKP</w:t>
      </w:r>
      <w:r w:rsidR="00C8422F" w:rsidRPr="00026D80">
        <w:rPr>
          <w:rFonts w:ascii="Times New Roman" w:hAnsi="Times New Roman" w:cs="Times New Roman"/>
          <w:bCs/>
          <w:color w:val="auto"/>
          <w:sz w:val="28"/>
          <w:szCs w:val="28"/>
        </w:rPr>
        <w:t xml:space="preserve"> dati.</w:t>
      </w:r>
    </w:p>
    <w:p w:rsidR="00026D80" w:rsidRDefault="00BD1DF0" w:rsidP="00026D80">
      <w:pPr>
        <w:pStyle w:val="Default"/>
        <w:spacing w:before="100" w:beforeAutospacing="1" w:after="100" w:afterAutospacing="1"/>
        <w:ind w:firstLine="720"/>
        <w:jc w:val="both"/>
        <w:rPr>
          <w:rFonts w:ascii="Times New Roman" w:hAnsi="Times New Roman" w:cs="Times New Roman"/>
          <w:bCs/>
          <w:color w:val="auto"/>
          <w:sz w:val="28"/>
          <w:szCs w:val="28"/>
        </w:rPr>
      </w:pPr>
      <w:r w:rsidRPr="00026D80">
        <w:rPr>
          <w:rFonts w:ascii="Times New Roman" w:hAnsi="Times New Roman" w:cs="Times New Roman"/>
          <w:bCs/>
          <w:color w:val="auto"/>
          <w:sz w:val="28"/>
          <w:szCs w:val="28"/>
        </w:rPr>
        <w:t xml:space="preserve">Atbilstoši </w:t>
      </w:r>
      <w:r w:rsidR="00201226" w:rsidRPr="00026D80">
        <w:rPr>
          <w:rFonts w:ascii="Times New Roman" w:hAnsi="Times New Roman" w:cs="Times New Roman"/>
          <w:bCs/>
          <w:color w:val="auto"/>
          <w:sz w:val="28"/>
          <w:szCs w:val="28"/>
        </w:rPr>
        <w:t xml:space="preserve">EKS 2010 </w:t>
      </w:r>
      <w:r w:rsidR="001B3B86" w:rsidRPr="00026D80">
        <w:rPr>
          <w:rFonts w:ascii="Times New Roman" w:hAnsi="Times New Roman" w:cs="Times New Roman"/>
          <w:bCs/>
          <w:color w:val="auto"/>
          <w:sz w:val="28"/>
          <w:szCs w:val="28"/>
        </w:rPr>
        <w:t>prasībām</w:t>
      </w:r>
      <w:r w:rsidR="00937864" w:rsidRPr="00026D80">
        <w:rPr>
          <w:rFonts w:ascii="Times New Roman" w:hAnsi="Times New Roman" w:cs="Times New Roman"/>
          <w:bCs/>
          <w:color w:val="auto"/>
          <w:sz w:val="28"/>
          <w:szCs w:val="28"/>
        </w:rPr>
        <w:t>,</w:t>
      </w:r>
      <w:r w:rsidRPr="00026D80">
        <w:rPr>
          <w:rFonts w:ascii="Times New Roman" w:hAnsi="Times New Roman" w:cs="Times New Roman"/>
          <w:bCs/>
          <w:color w:val="auto"/>
          <w:sz w:val="28"/>
          <w:szCs w:val="28"/>
        </w:rPr>
        <w:t xml:space="preserve"> </w:t>
      </w:r>
      <w:r w:rsidR="001B3B86" w:rsidRPr="00026D80">
        <w:rPr>
          <w:rFonts w:ascii="Times New Roman" w:hAnsi="Times New Roman" w:cs="Times New Roman"/>
          <w:bCs/>
          <w:color w:val="auto"/>
          <w:sz w:val="28"/>
          <w:szCs w:val="28"/>
        </w:rPr>
        <w:t xml:space="preserve">reģionālie </w:t>
      </w:r>
      <w:r w:rsidR="006F2B56" w:rsidRPr="00026D80">
        <w:rPr>
          <w:rFonts w:ascii="Times New Roman" w:hAnsi="Times New Roman" w:cs="Times New Roman"/>
          <w:bCs/>
          <w:color w:val="auto"/>
          <w:sz w:val="28"/>
          <w:szCs w:val="28"/>
        </w:rPr>
        <w:t xml:space="preserve">IKP </w:t>
      </w:r>
      <w:r w:rsidR="003457A6" w:rsidRPr="00026D80">
        <w:rPr>
          <w:rFonts w:ascii="Times New Roman" w:hAnsi="Times New Roman" w:cs="Times New Roman"/>
          <w:bCs/>
          <w:color w:val="auto"/>
          <w:sz w:val="28"/>
          <w:szCs w:val="28"/>
        </w:rPr>
        <w:t>un PV rādītāji</w:t>
      </w:r>
      <w:r w:rsidRPr="00026D80">
        <w:rPr>
          <w:rFonts w:ascii="Times New Roman" w:hAnsi="Times New Roman" w:cs="Times New Roman"/>
          <w:bCs/>
          <w:color w:val="auto"/>
          <w:sz w:val="28"/>
          <w:szCs w:val="28"/>
        </w:rPr>
        <w:t xml:space="preserve"> tiek </w:t>
      </w:r>
      <w:r w:rsidR="003457A6" w:rsidRPr="00026D80">
        <w:rPr>
          <w:rFonts w:ascii="Times New Roman" w:hAnsi="Times New Roman" w:cs="Times New Roman"/>
          <w:bCs/>
          <w:color w:val="auto"/>
          <w:sz w:val="28"/>
          <w:szCs w:val="28"/>
        </w:rPr>
        <w:t xml:space="preserve">sagatavoti 24 mēnešus pēc pārskata gada beigām </w:t>
      </w:r>
      <w:r w:rsidR="00937864" w:rsidRPr="00026D80">
        <w:rPr>
          <w:rFonts w:ascii="Times New Roman" w:hAnsi="Times New Roman" w:cs="Times New Roman"/>
          <w:bCs/>
          <w:color w:val="auto"/>
          <w:sz w:val="28"/>
          <w:szCs w:val="28"/>
        </w:rPr>
        <w:t xml:space="preserve">(2015.gada decembra beigās </w:t>
      </w:r>
      <w:r w:rsidR="00E30930" w:rsidRPr="00026D80">
        <w:rPr>
          <w:rFonts w:ascii="Times New Roman" w:hAnsi="Times New Roman" w:cs="Times New Roman"/>
          <w:bCs/>
          <w:color w:val="auto"/>
          <w:sz w:val="28"/>
          <w:szCs w:val="28"/>
        </w:rPr>
        <w:t xml:space="preserve">būs pieejami </w:t>
      </w:r>
      <w:r w:rsidR="00937864" w:rsidRPr="00026D80">
        <w:rPr>
          <w:rFonts w:ascii="Times New Roman" w:hAnsi="Times New Roman" w:cs="Times New Roman"/>
          <w:bCs/>
          <w:color w:val="auto"/>
          <w:sz w:val="28"/>
          <w:szCs w:val="28"/>
        </w:rPr>
        <w:t xml:space="preserve">dati par 2013.gadu) </w:t>
      </w:r>
      <w:r w:rsidR="003457A6" w:rsidRPr="00026D80">
        <w:rPr>
          <w:rFonts w:ascii="Times New Roman" w:hAnsi="Times New Roman" w:cs="Times New Roman"/>
          <w:bCs/>
          <w:color w:val="auto"/>
          <w:sz w:val="28"/>
          <w:szCs w:val="28"/>
        </w:rPr>
        <w:t xml:space="preserve">un </w:t>
      </w:r>
      <w:r w:rsidRPr="00026D80">
        <w:rPr>
          <w:rFonts w:ascii="Times New Roman" w:hAnsi="Times New Roman" w:cs="Times New Roman"/>
          <w:bCs/>
          <w:color w:val="auto"/>
          <w:sz w:val="28"/>
          <w:szCs w:val="28"/>
        </w:rPr>
        <w:t xml:space="preserve">nosūtīti </w:t>
      </w:r>
      <w:r w:rsidR="003A0583" w:rsidRPr="00026D80">
        <w:rPr>
          <w:rFonts w:ascii="Times New Roman" w:hAnsi="Times New Roman" w:cs="Times New Roman"/>
          <w:bCs/>
          <w:color w:val="auto"/>
          <w:sz w:val="28"/>
          <w:szCs w:val="28"/>
        </w:rPr>
        <w:t>ES</w:t>
      </w:r>
      <w:r w:rsidR="00A70F9C" w:rsidRPr="00026D80">
        <w:rPr>
          <w:rFonts w:ascii="Times New Roman" w:hAnsi="Times New Roman" w:cs="Times New Roman"/>
          <w:bCs/>
          <w:color w:val="auto"/>
          <w:sz w:val="28"/>
          <w:szCs w:val="28"/>
        </w:rPr>
        <w:t xml:space="preserve"> Statistikas </w:t>
      </w:r>
      <w:r w:rsidR="00B844AD" w:rsidRPr="00026D80">
        <w:rPr>
          <w:rFonts w:ascii="Times New Roman" w:hAnsi="Times New Roman" w:cs="Times New Roman"/>
          <w:bCs/>
          <w:color w:val="auto"/>
          <w:sz w:val="28"/>
          <w:szCs w:val="28"/>
        </w:rPr>
        <w:t>birojam Eurostat (turpmāk</w:t>
      </w:r>
      <w:r w:rsidR="00A70F9C" w:rsidRPr="00026D80">
        <w:rPr>
          <w:rFonts w:ascii="Times New Roman" w:hAnsi="Times New Roman" w:cs="Times New Roman"/>
          <w:bCs/>
          <w:color w:val="auto"/>
          <w:sz w:val="28"/>
          <w:szCs w:val="28"/>
        </w:rPr>
        <w:t xml:space="preserve"> – </w:t>
      </w:r>
      <w:r w:rsidRPr="00026D80">
        <w:rPr>
          <w:rFonts w:ascii="Times New Roman" w:hAnsi="Times New Roman" w:cs="Times New Roman"/>
          <w:bCs/>
          <w:color w:val="auto"/>
          <w:sz w:val="28"/>
          <w:szCs w:val="28"/>
        </w:rPr>
        <w:t>Eurostat</w:t>
      </w:r>
      <w:r w:rsidR="00A70F9C" w:rsidRPr="00026D80">
        <w:rPr>
          <w:rFonts w:ascii="Times New Roman" w:hAnsi="Times New Roman" w:cs="Times New Roman"/>
          <w:bCs/>
          <w:color w:val="auto"/>
          <w:sz w:val="28"/>
          <w:szCs w:val="28"/>
        </w:rPr>
        <w:t>)</w:t>
      </w:r>
      <w:r w:rsidR="00014B7E" w:rsidRPr="00026D80">
        <w:rPr>
          <w:rFonts w:ascii="Times New Roman" w:hAnsi="Times New Roman" w:cs="Times New Roman"/>
          <w:bCs/>
          <w:color w:val="auto"/>
          <w:sz w:val="28"/>
          <w:szCs w:val="28"/>
        </w:rPr>
        <w:t xml:space="preserve">, kā arī </w:t>
      </w:r>
      <w:r w:rsidR="006F2B56" w:rsidRPr="00026D80">
        <w:rPr>
          <w:rFonts w:ascii="Times New Roman" w:hAnsi="Times New Roman" w:cs="Times New Roman"/>
          <w:bCs/>
          <w:color w:val="auto"/>
          <w:sz w:val="28"/>
          <w:szCs w:val="28"/>
        </w:rPr>
        <w:t xml:space="preserve">publicēti </w:t>
      </w:r>
      <w:r w:rsidR="008B7E2C" w:rsidRPr="00026D80">
        <w:rPr>
          <w:rFonts w:ascii="Times New Roman" w:hAnsi="Times New Roman" w:cs="Times New Roman"/>
          <w:bCs/>
          <w:color w:val="auto"/>
          <w:sz w:val="28"/>
          <w:szCs w:val="28"/>
        </w:rPr>
        <w:t>Pārvaldes</w:t>
      </w:r>
      <w:r w:rsidR="006F2B56" w:rsidRPr="00026D80">
        <w:rPr>
          <w:rFonts w:ascii="Times New Roman" w:hAnsi="Times New Roman" w:cs="Times New Roman"/>
          <w:bCs/>
          <w:color w:val="auto"/>
          <w:sz w:val="28"/>
          <w:szCs w:val="28"/>
        </w:rPr>
        <w:t xml:space="preserve"> datu bāzē</w:t>
      </w:r>
      <w:r w:rsidRPr="00026D80">
        <w:rPr>
          <w:rFonts w:ascii="Times New Roman" w:hAnsi="Times New Roman" w:cs="Times New Roman"/>
          <w:bCs/>
          <w:color w:val="auto"/>
          <w:sz w:val="28"/>
          <w:szCs w:val="28"/>
        </w:rPr>
        <w:t>.</w:t>
      </w:r>
      <w:r w:rsidR="00A1017E" w:rsidRPr="00026D80">
        <w:rPr>
          <w:rFonts w:ascii="Times New Roman" w:hAnsi="Times New Roman" w:cs="Times New Roman"/>
          <w:bCs/>
          <w:color w:val="auto"/>
          <w:sz w:val="28"/>
          <w:szCs w:val="28"/>
        </w:rPr>
        <w:t xml:space="preserve"> Šādu reģionālo rādītāju sagatavošanas termiņu nosaka objektīvā nepieciešamība vispirms iegūt sabalansētus nacionālo kontu sistēmas rādītājus par attiecīgo pārskata gadu</w:t>
      </w:r>
      <w:r w:rsidR="00E0357F" w:rsidRPr="00026D80">
        <w:rPr>
          <w:rFonts w:ascii="Times New Roman" w:hAnsi="Times New Roman" w:cs="Times New Roman"/>
          <w:bCs/>
          <w:color w:val="auto"/>
          <w:sz w:val="28"/>
          <w:szCs w:val="28"/>
        </w:rPr>
        <w:t xml:space="preserve"> (tie tiek iegūti un publicēti 21 mēnesi pēc pārskata gada)</w:t>
      </w:r>
      <w:r w:rsidR="00A1017E" w:rsidRPr="00026D80">
        <w:rPr>
          <w:rFonts w:ascii="Times New Roman" w:hAnsi="Times New Roman" w:cs="Times New Roman"/>
          <w:bCs/>
          <w:color w:val="auto"/>
          <w:sz w:val="28"/>
          <w:szCs w:val="28"/>
        </w:rPr>
        <w:t xml:space="preserve">, un tikai pēc tam </w:t>
      </w:r>
      <w:r w:rsidR="001D7933" w:rsidRPr="00026D80">
        <w:rPr>
          <w:rFonts w:ascii="Times New Roman" w:hAnsi="Times New Roman" w:cs="Times New Roman"/>
          <w:bCs/>
          <w:color w:val="auto"/>
          <w:sz w:val="28"/>
          <w:szCs w:val="28"/>
        </w:rPr>
        <w:t xml:space="preserve">var uzsākt </w:t>
      </w:r>
      <w:r w:rsidR="00A1017E" w:rsidRPr="00026D80">
        <w:rPr>
          <w:rFonts w:ascii="Times New Roman" w:hAnsi="Times New Roman" w:cs="Times New Roman"/>
          <w:bCs/>
          <w:color w:val="auto"/>
          <w:sz w:val="28"/>
          <w:szCs w:val="28"/>
        </w:rPr>
        <w:t xml:space="preserve">rādītāju </w:t>
      </w:r>
      <w:r w:rsidR="00E0357F" w:rsidRPr="00026D80">
        <w:rPr>
          <w:rFonts w:ascii="Times New Roman" w:hAnsi="Times New Roman" w:cs="Times New Roman"/>
          <w:bCs/>
          <w:color w:val="auto"/>
          <w:sz w:val="28"/>
          <w:szCs w:val="28"/>
        </w:rPr>
        <w:t>reģionāl</w:t>
      </w:r>
      <w:r w:rsidR="001D7933" w:rsidRPr="00026D80">
        <w:rPr>
          <w:rFonts w:ascii="Times New Roman" w:hAnsi="Times New Roman" w:cs="Times New Roman"/>
          <w:bCs/>
          <w:color w:val="auto"/>
          <w:sz w:val="28"/>
          <w:szCs w:val="28"/>
        </w:rPr>
        <w:t>ā</w:t>
      </w:r>
      <w:r w:rsidR="001F30B3" w:rsidRPr="00026D80">
        <w:rPr>
          <w:rFonts w:ascii="Times New Roman" w:hAnsi="Times New Roman" w:cs="Times New Roman"/>
          <w:bCs/>
          <w:color w:val="auto"/>
          <w:sz w:val="28"/>
          <w:szCs w:val="28"/>
        </w:rPr>
        <w:t xml:space="preserve"> </w:t>
      </w:r>
      <w:r w:rsidR="00E0357F" w:rsidRPr="00026D80">
        <w:rPr>
          <w:rFonts w:ascii="Times New Roman" w:hAnsi="Times New Roman" w:cs="Times New Roman"/>
          <w:bCs/>
          <w:color w:val="auto"/>
          <w:sz w:val="28"/>
          <w:szCs w:val="28"/>
        </w:rPr>
        <w:t>sadalījuma</w:t>
      </w:r>
      <w:r w:rsidR="001F30B3" w:rsidRPr="00026D80">
        <w:rPr>
          <w:rFonts w:ascii="Times New Roman" w:hAnsi="Times New Roman" w:cs="Times New Roman"/>
          <w:bCs/>
          <w:color w:val="auto"/>
          <w:sz w:val="28"/>
          <w:szCs w:val="28"/>
        </w:rPr>
        <w:t xml:space="preserve"> aprēķinus.</w:t>
      </w:r>
    </w:p>
    <w:p w:rsidR="00026D80" w:rsidRDefault="00026D80" w:rsidP="00026D80">
      <w:pPr>
        <w:pStyle w:val="Default"/>
        <w:spacing w:before="100" w:beforeAutospacing="1" w:after="100" w:afterAutospacing="1"/>
        <w:ind w:firstLine="720"/>
        <w:jc w:val="both"/>
        <w:rPr>
          <w:rFonts w:ascii="Times New Roman" w:hAnsi="Times New Roman" w:cs="Times New Roman"/>
          <w:bCs/>
          <w:color w:val="auto"/>
          <w:sz w:val="28"/>
          <w:szCs w:val="28"/>
        </w:rPr>
      </w:pPr>
    </w:p>
    <w:p w:rsidR="004D2686" w:rsidRPr="00026D80" w:rsidRDefault="001F30B3" w:rsidP="00026D80">
      <w:pPr>
        <w:pStyle w:val="Default"/>
        <w:spacing w:before="100" w:beforeAutospacing="1" w:after="100" w:afterAutospacing="1"/>
        <w:ind w:firstLine="720"/>
        <w:jc w:val="both"/>
        <w:rPr>
          <w:rFonts w:ascii="Times New Roman" w:hAnsi="Times New Roman" w:cs="Times New Roman"/>
          <w:bCs/>
          <w:color w:val="auto"/>
          <w:sz w:val="28"/>
          <w:szCs w:val="28"/>
        </w:rPr>
      </w:pPr>
      <w:r w:rsidRPr="00026D80">
        <w:rPr>
          <w:rFonts w:ascii="Times New Roman" w:hAnsi="Times New Roman" w:cs="Times New Roman"/>
          <w:bCs/>
          <w:color w:val="auto"/>
          <w:sz w:val="28"/>
          <w:szCs w:val="28"/>
        </w:rPr>
        <w:lastRenderedPageBreak/>
        <w:t xml:space="preserve"> </w:t>
      </w:r>
    </w:p>
    <w:p w:rsidR="0031486C" w:rsidRPr="00026D80" w:rsidRDefault="00C0720F" w:rsidP="00026D80">
      <w:pPr>
        <w:pStyle w:val="ListParagraph"/>
        <w:numPr>
          <w:ilvl w:val="0"/>
          <w:numId w:val="1"/>
        </w:numPr>
        <w:tabs>
          <w:tab w:val="left" w:pos="1134"/>
        </w:tabs>
        <w:spacing w:before="100" w:beforeAutospacing="1" w:after="100" w:afterAutospacing="1" w:line="240" w:lineRule="auto"/>
        <w:ind w:left="0" w:firstLine="720"/>
        <w:jc w:val="center"/>
        <w:rPr>
          <w:rFonts w:ascii="Times New Roman" w:hAnsi="Times New Roman" w:cs="Times New Roman"/>
          <w:b/>
          <w:sz w:val="28"/>
          <w:szCs w:val="28"/>
        </w:rPr>
      </w:pPr>
      <w:r w:rsidRPr="00026D80">
        <w:rPr>
          <w:rFonts w:ascii="Times New Roman" w:hAnsi="Times New Roman" w:cs="Times New Roman"/>
          <w:b/>
          <w:sz w:val="28"/>
          <w:szCs w:val="28"/>
        </w:rPr>
        <w:t>Republikas pilsētu iekšzemes kopprodukta un pievienotās vērtības nepieciešamības pamatojums</w:t>
      </w:r>
    </w:p>
    <w:p w:rsidR="00330251" w:rsidRPr="00026D80" w:rsidRDefault="0093244E" w:rsidP="00026D80">
      <w:pPr>
        <w:pStyle w:val="Default"/>
        <w:spacing w:before="100" w:beforeAutospacing="1" w:after="100" w:afterAutospacing="1"/>
        <w:ind w:firstLine="720"/>
        <w:jc w:val="both"/>
        <w:rPr>
          <w:rFonts w:ascii="Times New Roman" w:hAnsi="Times New Roman" w:cs="Times New Roman"/>
          <w:color w:val="auto"/>
          <w:sz w:val="28"/>
          <w:szCs w:val="28"/>
        </w:rPr>
      </w:pPr>
      <w:r w:rsidRPr="00026D80">
        <w:rPr>
          <w:rFonts w:ascii="Times New Roman" w:hAnsi="Times New Roman" w:cs="Times New Roman"/>
          <w:color w:val="auto"/>
          <w:sz w:val="28"/>
          <w:szCs w:val="28"/>
        </w:rPr>
        <w:t>Pārvalde</w:t>
      </w:r>
      <w:r w:rsidR="003D2D0C" w:rsidRPr="00026D80">
        <w:rPr>
          <w:rFonts w:ascii="Times New Roman" w:hAnsi="Times New Roman" w:cs="Times New Roman"/>
          <w:color w:val="auto"/>
          <w:sz w:val="28"/>
          <w:szCs w:val="28"/>
        </w:rPr>
        <w:t xml:space="preserve"> </w:t>
      </w:r>
      <w:r w:rsidR="008B7E2C" w:rsidRPr="00026D80">
        <w:rPr>
          <w:rFonts w:ascii="Times New Roman" w:hAnsi="Times New Roman" w:cs="Times New Roman"/>
          <w:color w:val="auto"/>
          <w:sz w:val="28"/>
          <w:szCs w:val="28"/>
        </w:rPr>
        <w:t>vair</w:t>
      </w:r>
      <w:r w:rsidR="006F56A4" w:rsidRPr="00026D80">
        <w:rPr>
          <w:rFonts w:ascii="Times New Roman" w:hAnsi="Times New Roman" w:cs="Times New Roman"/>
          <w:color w:val="auto"/>
          <w:sz w:val="28"/>
          <w:szCs w:val="28"/>
        </w:rPr>
        <w:t>ā</w:t>
      </w:r>
      <w:r w:rsidR="008B7E2C" w:rsidRPr="00026D80">
        <w:rPr>
          <w:rFonts w:ascii="Times New Roman" w:hAnsi="Times New Roman" w:cs="Times New Roman"/>
          <w:color w:val="auto"/>
          <w:sz w:val="28"/>
          <w:szCs w:val="28"/>
        </w:rPr>
        <w:t xml:space="preserve">kkārt </w:t>
      </w:r>
      <w:r w:rsidR="003D2D0C" w:rsidRPr="00026D80">
        <w:rPr>
          <w:rFonts w:ascii="Times New Roman" w:hAnsi="Times New Roman" w:cs="Times New Roman"/>
          <w:color w:val="auto"/>
          <w:sz w:val="28"/>
          <w:szCs w:val="28"/>
        </w:rPr>
        <w:t xml:space="preserve">ir saņēmusi </w:t>
      </w:r>
      <w:r w:rsidR="00330251" w:rsidRPr="00026D80">
        <w:rPr>
          <w:rFonts w:ascii="Times New Roman" w:hAnsi="Times New Roman" w:cs="Times New Roman"/>
          <w:color w:val="auto"/>
          <w:sz w:val="28"/>
          <w:szCs w:val="28"/>
        </w:rPr>
        <w:t>Latvijas Lielo pilsētu asociācija</w:t>
      </w:r>
      <w:r w:rsidR="003D2D0C" w:rsidRPr="00026D80">
        <w:rPr>
          <w:rFonts w:ascii="Times New Roman" w:hAnsi="Times New Roman" w:cs="Times New Roman"/>
          <w:color w:val="auto"/>
          <w:sz w:val="28"/>
          <w:szCs w:val="28"/>
        </w:rPr>
        <w:t>s,</w:t>
      </w:r>
      <w:r w:rsidR="00330251" w:rsidRPr="00026D80">
        <w:rPr>
          <w:rFonts w:ascii="Times New Roman" w:hAnsi="Times New Roman" w:cs="Times New Roman"/>
          <w:color w:val="auto"/>
          <w:sz w:val="28"/>
          <w:szCs w:val="28"/>
        </w:rPr>
        <w:t xml:space="preserve"> Latvijas Pašvaldību savienība</w:t>
      </w:r>
      <w:r w:rsidR="003D2D0C" w:rsidRPr="00026D80">
        <w:rPr>
          <w:rFonts w:ascii="Times New Roman" w:hAnsi="Times New Roman" w:cs="Times New Roman"/>
          <w:color w:val="auto"/>
          <w:sz w:val="28"/>
          <w:szCs w:val="28"/>
        </w:rPr>
        <w:t>s</w:t>
      </w:r>
      <w:r w:rsidR="00330251" w:rsidRPr="00026D80">
        <w:rPr>
          <w:rFonts w:ascii="Times New Roman" w:hAnsi="Times New Roman" w:cs="Times New Roman"/>
          <w:color w:val="auto"/>
          <w:sz w:val="28"/>
          <w:szCs w:val="28"/>
        </w:rPr>
        <w:t xml:space="preserve"> un Vides aizsardzības un reģionālās attīstības</w:t>
      </w:r>
      <w:proofErr w:type="gramStart"/>
      <w:r w:rsidR="00330251" w:rsidRPr="00026D80">
        <w:rPr>
          <w:rFonts w:ascii="Times New Roman" w:hAnsi="Times New Roman" w:cs="Times New Roman"/>
          <w:color w:val="auto"/>
          <w:sz w:val="28"/>
          <w:szCs w:val="28"/>
        </w:rPr>
        <w:t xml:space="preserve">  </w:t>
      </w:r>
      <w:proofErr w:type="gramEnd"/>
      <w:r w:rsidR="00330251" w:rsidRPr="00026D80">
        <w:rPr>
          <w:rFonts w:ascii="Times New Roman" w:hAnsi="Times New Roman" w:cs="Times New Roman"/>
          <w:color w:val="auto"/>
          <w:sz w:val="28"/>
          <w:szCs w:val="28"/>
        </w:rPr>
        <w:t>ministrija</w:t>
      </w:r>
      <w:r w:rsidR="003D2D0C" w:rsidRPr="00026D80">
        <w:rPr>
          <w:rFonts w:ascii="Times New Roman" w:hAnsi="Times New Roman" w:cs="Times New Roman"/>
          <w:color w:val="auto"/>
          <w:sz w:val="28"/>
          <w:szCs w:val="28"/>
        </w:rPr>
        <w:t>s</w:t>
      </w:r>
      <w:r w:rsidR="008B7E2C" w:rsidRPr="00026D80">
        <w:rPr>
          <w:rFonts w:ascii="Times New Roman" w:hAnsi="Times New Roman" w:cs="Times New Roman"/>
          <w:color w:val="auto"/>
          <w:sz w:val="28"/>
          <w:szCs w:val="28"/>
        </w:rPr>
        <w:t xml:space="preserve"> viedokli</w:t>
      </w:r>
      <w:r w:rsidR="00330251" w:rsidRPr="00026D80">
        <w:rPr>
          <w:rFonts w:ascii="Times New Roman" w:hAnsi="Times New Roman" w:cs="Times New Roman"/>
          <w:color w:val="auto"/>
          <w:sz w:val="28"/>
          <w:szCs w:val="28"/>
        </w:rPr>
        <w:t xml:space="preserve"> </w:t>
      </w:r>
      <w:r w:rsidR="009040E4" w:rsidRPr="00026D80">
        <w:rPr>
          <w:rFonts w:ascii="Times New Roman" w:hAnsi="Times New Roman" w:cs="Times New Roman"/>
          <w:color w:val="auto"/>
          <w:sz w:val="28"/>
          <w:szCs w:val="28"/>
        </w:rPr>
        <w:t>par nepieciešamību veikt r</w:t>
      </w:r>
      <w:r w:rsidR="003D2D0C" w:rsidRPr="00026D80">
        <w:rPr>
          <w:rFonts w:ascii="Times New Roman" w:hAnsi="Times New Roman" w:cs="Times New Roman"/>
          <w:color w:val="auto"/>
          <w:sz w:val="28"/>
          <w:szCs w:val="28"/>
        </w:rPr>
        <w:t xml:space="preserve">epublikas pilsētu </w:t>
      </w:r>
      <w:r w:rsidR="005C75E2" w:rsidRPr="00026D80">
        <w:rPr>
          <w:rFonts w:ascii="Times New Roman" w:hAnsi="Times New Roman" w:cs="Times New Roman"/>
          <w:color w:val="auto"/>
          <w:sz w:val="28"/>
          <w:szCs w:val="28"/>
        </w:rPr>
        <w:t xml:space="preserve">IKP un PV </w:t>
      </w:r>
      <w:r w:rsidR="003D2D0C" w:rsidRPr="00026D80">
        <w:rPr>
          <w:rFonts w:ascii="Times New Roman" w:hAnsi="Times New Roman" w:cs="Times New Roman"/>
          <w:color w:val="auto"/>
          <w:sz w:val="28"/>
          <w:szCs w:val="28"/>
        </w:rPr>
        <w:t>aprēķinus.</w:t>
      </w:r>
    </w:p>
    <w:p w:rsidR="00853B37" w:rsidRPr="00026D80" w:rsidRDefault="00853B37" w:rsidP="00026D80">
      <w:pPr>
        <w:pStyle w:val="Default"/>
        <w:spacing w:before="100" w:beforeAutospacing="1" w:after="100" w:afterAutospacing="1"/>
        <w:ind w:firstLine="720"/>
        <w:jc w:val="both"/>
        <w:rPr>
          <w:rFonts w:ascii="Times New Roman" w:hAnsi="Times New Roman" w:cs="Times New Roman"/>
          <w:color w:val="auto"/>
          <w:sz w:val="28"/>
          <w:szCs w:val="28"/>
        </w:rPr>
      </w:pPr>
      <w:r w:rsidRPr="00026D80">
        <w:rPr>
          <w:rFonts w:ascii="Times New Roman" w:hAnsi="Times New Roman" w:cs="Times New Roman"/>
          <w:color w:val="auto"/>
          <w:sz w:val="28"/>
          <w:szCs w:val="28"/>
        </w:rPr>
        <w:t>Latvijas Lielo pilsētu asociācija norāda,</w:t>
      </w:r>
      <w:r w:rsidR="003D2D0C" w:rsidRPr="00026D80">
        <w:rPr>
          <w:rFonts w:ascii="Times New Roman" w:hAnsi="Times New Roman" w:cs="Times New Roman"/>
          <w:color w:val="auto"/>
          <w:sz w:val="28"/>
          <w:szCs w:val="28"/>
        </w:rPr>
        <w:t xml:space="preserve"> </w:t>
      </w:r>
      <w:r w:rsidRPr="00026D80">
        <w:rPr>
          <w:rFonts w:ascii="Times New Roman" w:hAnsi="Times New Roman" w:cs="Times New Roman"/>
          <w:color w:val="auto"/>
          <w:sz w:val="28"/>
          <w:szCs w:val="28"/>
        </w:rPr>
        <w:t>ka, 2011.gadā analizējot programmas saturu pēc Administratīvi teritoriālās reformas (turpmāk</w:t>
      </w:r>
      <w:r w:rsidR="00AB35D7" w:rsidRPr="00026D80">
        <w:rPr>
          <w:rFonts w:ascii="Times New Roman" w:hAnsi="Times New Roman" w:cs="Times New Roman"/>
          <w:color w:val="auto"/>
          <w:sz w:val="28"/>
          <w:szCs w:val="28"/>
        </w:rPr>
        <w:t xml:space="preserve"> </w:t>
      </w:r>
      <w:r w:rsidRPr="00026D80">
        <w:rPr>
          <w:rFonts w:ascii="Times New Roman" w:hAnsi="Times New Roman" w:cs="Times New Roman"/>
          <w:color w:val="auto"/>
          <w:sz w:val="28"/>
          <w:szCs w:val="28"/>
        </w:rPr>
        <w:t xml:space="preserve">– ATR), tika secināts, ka statistisko rādītāju apjoms pašvaldību līmenī ir samazinājies. Iepazīstoties ar </w:t>
      </w:r>
      <w:r w:rsidR="00EE2CB0" w:rsidRPr="00026D80">
        <w:rPr>
          <w:rFonts w:ascii="Times New Roman" w:hAnsi="Times New Roman" w:cs="Times New Roman"/>
          <w:color w:val="auto"/>
          <w:sz w:val="28"/>
          <w:szCs w:val="28"/>
        </w:rPr>
        <w:t>programmu</w:t>
      </w:r>
      <w:r w:rsidRPr="00026D80">
        <w:rPr>
          <w:rFonts w:ascii="Times New Roman" w:hAnsi="Times New Roman" w:cs="Times New Roman"/>
          <w:color w:val="auto"/>
          <w:sz w:val="28"/>
          <w:szCs w:val="28"/>
        </w:rPr>
        <w:t xml:space="preserve"> 2015.gadam, secinā</w:t>
      </w:r>
      <w:r w:rsidR="00EE2CB0" w:rsidRPr="00026D80">
        <w:rPr>
          <w:rFonts w:ascii="Times New Roman" w:hAnsi="Times New Roman" w:cs="Times New Roman"/>
          <w:color w:val="auto"/>
          <w:sz w:val="28"/>
          <w:szCs w:val="28"/>
        </w:rPr>
        <w:t>ts</w:t>
      </w:r>
      <w:r w:rsidRPr="00026D80">
        <w:rPr>
          <w:rFonts w:ascii="Times New Roman" w:hAnsi="Times New Roman" w:cs="Times New Roman"/>
          <w:color w:val="auto"/>
          <w:sz w:val="28"/>
          <w:szCs w:val="28"/>
        </w:rPr>
        <w:t xml:space="preserve">, ka tajā nav iekļauti tādi pašvaldībām būtiski rādītāji pašvaldību līmenī kā </w:t>
      </w:r>
      <w:r w:rsidR="00D70ABB" w:rsidRPr="00026D80">
        <w:rPr>
          <w:rFonts w:ascii="Times New Roman" w:hAnsi="Times New Roman" w:cs="Times New Roman"/>
          <w:color w:val="auto"/>
          <w:sz w:val="28"/>
          <w:szCs w:val="28"/>
        </w:rPr>
        <w:t>IKP</w:t>
      </w:r>
      <w:r w:rsidR="00104F57" w:rsidRPr="00026D80">
        <w:rPr>
          <w:rFonts w:ascii="Times New Roman" w:hAnsi="Times New Roman" w:cs="Times New Roman"/>
          <w:color w:val="auto"/>
          <w:sz w:val="28"/>
          <w:szCs w:val="28"/>
        </w:rPr>
        <w:t xml:space="preserve"> </w:t>
      </w:r>
      <w:r w:rsidRPr="00026D80">
        <w:rPr>
          <w:rFonts w:ascii="Times New Roman" w:hAnsi="Times New Roman" w:cs="Times New Roman"/>
          <w:color w:val="auto"/>
          <w:sz w:val="28"/>
          <w:szCs w:val="28"/>
        </w:rPr>
        <w:t xml:space="preserve">un </w:t>
      </w:r>
      <w:r w:rsidR="00D70ABB" w:rsidRPr="00026D80">
        <w:rPr>
          <w:rFonts w:ascii="Times New Roman" w:hAnsi="Times New Roman" w:cs="Times New Roman"/>
          <w:color w:val="auto"/>
          <w:sz w:val="28"/>
          <w:szCs w:val="28"/>
        </w:rPr>
        <w:t>PV</w:t>
      </w:r>
      <w:r w:rsidRPr="00026D80">
        <w:rPr>
          <w:rFonts w:ascii="Times New Roman" w:hAnsi="Times New Roman" w:cs="Times New Roman"/>
          <w:color w:val="auto"/>
          <w:sz w:val="28"/>
          <w:szCs w:val="28"/>
        </w:rPr>
        <w:t>. Šie rādītāji nepieciešami pašvaldību atbildībā esošo jomu vispusīgai izvērtēšanai, kā arī pilsētu un blakus esošo teritoriju attīstības plānošanai un īstenošanai. Pēc ATR pieņemta virkne normatīvo aktu, piemēram, Latvijas ilgtspējīgās attīstības stratēģija (2010.gada 10.jūnijs), kas nosaka, ka nacionālās nozīmes pilsētām jākļūst par pilsētas un tai apkārt esošo teritoriju attīstības centriem. Pašvaldības izstrādāja pašvaldību ilgtspējīgās attīstības stratēģijas un attīstības programmas. Šajos dokumentos noteikto mērķu realizācijai nepieciešami salīdzināmi rādītāji –</w:t>
      </w:r>
      <w:r w:rsidR="00BD138B" w:rsidRPr="00026D80">
        <w:rPr>
          <w:rFonts w:ascii="Times New Roman" w:hAnsi="Times New Roman" w:cs="Times New Roman"/>
          <w:color w:val="auto"/>
          <w:sz w:val="28"/>
          <w:szCs w:val="28"/>
        </w:rPr>
        <w:t xml:space="preserve"> </w:t>
      </w:r>
      <w:r w:rsidR="00F20D87" w:rsidRPr="00026D80">
        <w:rPr>
          <w:rFonts w:ascii="Times New Roman" w:hAnsi="Times New Roman" w:cs="Times New Roman"/>
          <w:color w:val="auto"/>
          <w:sz w:val="28"/>
          <w:szCs w:val="28"/>
        </w:rPr>
        <w:t>IKP</w:t>
      </w:r>
      <w:r w:rsidR="00BD138B" w:rsidRPr="00026D80">
        <w:rPr>
          <w:rFonts w:ascii="Times New Roman" w:hAnsi="Times New Roman" w:cs="Times New Roman"/>
          <w:color w:val="auto"/>
          <w:sz w:val="28"/>
          <w:szCs w:val="28"/>
        </w:rPr>
        <w:t xml:space="preserve"> un P</w:t>
      </w:r>
      <w:r w:rsidR="00F20D87" w:rsidRPr="00026D80">
        <w:rPr>
          <w:rFonts w:ascii="Times New Roman" w:hAnsi="Times New Roman" w:cs="Times New Roman"/>
          <w:color w:val="auto"/>
          <w:sz w:val="28"/>
          <w:szCs w:val="28"/>
        </w:rPr>
        <w:t>V</w:t>
      </w:r>
      <w:r w:rsidR="00330251" w:rsidRPr="00026D80">
        <w:rPr>
          <w:rFonts w:ascii="Times New Roman" w:hAnsi="Times New Roman" w:cs="Times New Roman"/>
          <w:color w:val="auto"/>
          <w:sz w:val="28"/>
          <w:szCs w:val="28"/>
        </w:rPr>
        <w:t xml:space="preserve">. </w:t>
      </w:r>
      <w:proofErr w:type="gramStart"/>
      <w:r w:rsidRPr="00026D80">
        <w:rPr>
          <w:rFonts w:ascii="Times New Roman" w:hAnsi="Times New Roman" w:cs="Times New Roman"/>
          <w:color w:val="auto"/>
          <w:sz w:val="28"/>
          <w:szCs w:val="28"/>
        </w:rPr>
        <w:t>Bez tam</w:t>
      </w:r>
      <w:proofErr w:type="gramEnd"/>
      <w:r w:rsidRPr="00026D80">
        <w:rPr>
          <w:rFonts w:ascii="Times New Roman" w:hAnsi="Times New Roman" w:cs="Times New Roman"/>
          <w:color w:val="auto"/>
          <w:sz w:val="28"/>
          <w:szCs w:val="28"/>
        </w:rPr>
        <w:t>, šie rādītāji nepieciešami E</w:t>
      </w:r>
      <w:r w:rsidR="005758EC" w:rsidRPr="00026D80">
        <w:rPr>
          <w:rFonts w:ascii="Times New Roman" w:hAnsi="Times New Roman" w:cs="Times New Roman"/>
          <w:color w:val="auto"/>
          <w:sz w:val="28"/>
          <w:szCs w:val="28"/>
        </w:rPr>
        <w:t>S</w:t>
      </w:r>
      <w:r w:rsidRPr="00026D80">
        <w:rPr>
          <w:rFonts w:ascii="Times New Roman" w:hAnsi="Times New Roman" w:cs="Times New Roman"/>
          <w:color w:val="auto"/>
          <w:sz w:val="28"/>
          <w:szCs w:val="28"/>
        </w:rPr>
        <w:t xml:space="preserve"> fondu un nacionālā budžeta līdzekļu izmantošanas efektivitātes salīdzināšanai starp pilsētu pašvaldībām, kuras ir mazākas par Rīgu, kas ir viens statistiskais reģions. Tādējādi Rīga ir ievērojami labākā situācijā statistisko rādītāju pieejamības kontekstā.</w:t>
      </w:r>
    </w:p>
    <w:p w:rsidR="00853B37" w:rsidRPr="00026D80" w:rsidRDefault="00853B37" w:rsidP="00026D80">
      <w:pPr>
        <w:pStyle w:val="Default"/>
        <w:spacing w:before="100" w:beforeAutospacing="1" w:after="100" w:afterAutospacing="1"/>
        <w:ind w:firstLine="720"/>
        <w:jc w:val="both"/>
        <w:rPr>
          <w:rFonts w:ascii="Times New Roman" w:hAnsi="Times New Roman" w:cs="Times New Roman"/>
          <w:color w:val="auto"/>
          <w:sz w:val="28"/>
          <w:szCs w:val="28"/>
        </w:rPr>
      </w:pPr>
      <w:r w:rsidRPr="00026D80">
        <w:rPr>
          <w:rFonts w:ascii="Times New Roman" w:hAnsi="Times New Roman" w:cs="Times New Roman"/>
          <w:color w:val="auto"/>
          <w:sz w:val="28"/>
          <w:szCs w:val="28"/>
        </w:rPr>
        <w:t xml:space="preserve">Latvijas Pašvaldību savienība atbalsta Latvijas Lielo pilsētu asociācijas pausto pamatojumu, kā arī papildus norāda, ka IKP un PV nepieciešams ES fondu sadales un apgūšanas izvērtēšanai, korektai plānošanai, kas balstītos nevis uz prognozēm, bet objektīviem rādītājiem. </w:t>
      </w:r>
      <w:r w:rsidR="003D63DE" w:rsidRPr="00026D80">
        <w:rPr>
          <w:rFonts w:ascii="Times New Roman" w:hAnsi="Times New Roman" w:cs="Times New Roman"/>
          <w:color w:val="auto"/>
          <w:sz w:val="28"/>
          <w:szCs w:val="28"/>
        </w:rPr>
        <w:t>Tiek norādīts, ka m</w:t>
      </w:r>
      <w:r w:rsidRPr="00026D80">
        <w:rPr>
          <w:rFonts w:ascii="Times New Roman" w:hAnsi="Times New Roman" w:cs="Times New Roman"/>
          <w:color w:val="auto"/>
          <w:sz w:val="28"/>
          <w:szCs w:val="28"/>
        </w:rPr>
        <w:t>inētie rādītāji nepieciešami arī sadarbībai ar uzņēmējiem, kuri pra</w:t>
      </w:r>
      <w:r w:rsidR="00316BC0" w:rsidRPr="00026D80">
        <w:rPr>
          <w:rFonts w:ascii="Times New Roman" w:hAnsi="Times New Roman" w:cs="Times New Roman"/>
          <w:color w:val="auto"/>
          <w:sz w:val="28"/>
          <w:szCs w:val="28"/>
        </w:rPr>
        <w:t>sa ļoti detalizētu informāciju.</w:t>
      </w:r>
    </w:p>
    <w:p w:rsidR="00853B37" w:rsidRPr="00026D80" w:rsidRDefault="00853B37" w:rsidP="00026D80">
      <w:pPr>
        <w:pStyle w:val="Default"/>
        <w:spacing w:before="100" w:beforeAutospacing="1" w:after="100" w:afterAutospacing="1"/>
        <w:ind w:firstLine="720"/>
        <w:jc w:val="both"/>
        <w:rPr>
          <w:rFonts w:ascii="Times New Roman" w:hAnsi="Times New Roman" w:cs="Times New Roman"/>
          <w:color w:val="auto"/>
          <w:sz w:val="28"/>
          <w:szCs w:val="28"/>
        </w:rPr>
      </w:pPr>
      <w:r w:rsidRPr="00026D80">
        <w:rPr>
          <w:rFonts w:ascii="Times New Roman" w:hAnsi="Times New Roman" w:cs="Times New Roman"/>
          <w:color w:val="auto"/>
          <w:sz w:val="28"/>
          <w:szCs w:val="28"/>
        </w:rPr>
        <w:t>Vides aizsardzības un reģionālās attīstības</w:t>
      </w:r>
      <w:proofErr w:type="gramStart"/>
      <w:r w:rsidRPr="00026D80">
        <w:rPr>
          <w:rFonts w:ascii="Times New Roman" w:hAnsi="Times New Roman" w:cs="Times New Roman"/>
          <w:color w:val="auto"/>
          <w:sz w:val="28"/>
          <w:szCs w:val="28"/>
        </w:rPr>
        <w:t xml:space="preserve">  </w:t>
      </w:r>
      <w:proofErr w:type="gramEnd"/>
      <w:r w:rsidRPr="00026D80">
        <w:rPr>
          <w:rFonts w:ascii="Times New Roman" w:hAnsi="Times New Roman" w:cs="Times New Roman"/>
          <w:color w:val="auto"/>
          <w:sz w:val="28"/>
          <w:szCs w:val="28"/>
        </w:rPr>
        <w:t xml:space="preserve">ministrija norāda, ka republikas pilsētu IKP un PV nepieciešama plānošanas reģioniem teritoriju attīstības plānošanas un uzraudzības funkciju veikšanai. Republikas pilsētas ieņem būtisku lomu reģiona ekonomisko rādītāju veidošanā. Iedzīvotāju skaits republikas pilsētās, piemēram, Latgales reģionā </w:t>
      </w:r>
      <w:r w:rsidR="0098723C" w:rsidRPr="00026D80">
        <w:rPr>
          <w:rFonts w:ascii="Times New Roman" w:hAnsi="Times New Roman" w:cs="Times New Roman"/>
          <w:color w:val="auto"/>
          <w:sz w:val="28"/>
          <w:szCs w:val="28"/>
        </w:rPr>
        <w:t>veido</w:t>
      </w:r>
      <w:r w:rsidRPr="00026D80">
        <w:rPr>
          <w:rFonts w:ascii="Times New Roman" w:hAnsi="Times New Roman" w:cs="Times New Roman"/>
          <w:color w:val="auto"/>
          <w:sz w:val="28"/>
          <w:szCs w:val="28"/>
        </w:rPr>
        <w:t xml:space="preserve"> lielāko daļu no kopēja iedzīvotāju skaita visā reģionā. Republikas pilsētas ir uzņēmējdarbības un darba ņēmēju koncentrēšanas vieta. Tādēļ republikas pilsētu devums reģiona attīstībā ir ļoti liels. Rādītāji nepieciešami attīstības potenciāla un tendenču vērtēšanai un plānošanai.</w:t>
      </w:r>
    </w:p>
    <w:p w:rsidR="00A6080D" w:rsidRPr="00026D80" w:rsidRDefault="001D51A0" w:rsidP="00026D80">
      <w:pPr>
        <w:pStyle w:val="Default"/>
        <w:spacing w:before="100" w:beforeAutospacing="1" w:after="100" w:afterAutospacing="1"/>
        <w:ind w:firstLine="720"/>
        <w:jc w:val="both"/>
        <w:rPr>
          <w:rFonts w:ascii="Times New Roman" w:hAnsi="Times New Roman" w:cs="Times New Roman"/>
          <w:color w:val="auto"/>
          <w:sz w:val="28"/>
          <w:szCs w:val="28"/>
        </w:rPr>
      </w:pPr>
      <w:r w:rsidRPr="00026D80">
        <w:rPr>
          <w:rFonts w:ascii="Times New Roman" w:hAnsi="Times New Roman" w:cs="Times New Roman"/>
          <w:color w:val="auto"/>
          <w:sz w:val="28"/>
          <w:szCs w:val="28"/>
        </w:rPr>
        <w:lastRenderedPageBreak/>
        <w:t xml:space="preserve">Katru gadu </w:t>
      </w:r>
      <w:r w:rsidR="00F97808" w:rsidRPr="00026D80">
        <w:rPr>
          <w:rFonts w:ascii="Times New Roman" w:hAnsi="Times New Roman" w:cs="Times New Roman"/>
          <w:color w:val="auto"/>
          <w:sz w:val="28"/>
          <w:szCs w:val="28"/>
        </w:rPr>
        <w:t>Pārvalde</w:t>
      </w:r>
      <w:r w:rsidRPr="00026D80">
        <w:rPr>
          <w:rFonts w:ascii="Times New Roman" w:hAnsi="Times New Roman" w:cs="Times New Roman"/>
          <w:color w:val="auto"/>
          <w:sz w:val="28"/>
          <w:szCs w:val="28"/>
        </w:rPr>
        <w:t>, gatavojot programmas projektu, izvērtē visu statistisko datu lietotāju pieprasījumus pēc papildus datiem. Šie datu pieprasījumi tiek izvērtēti, ņemot vērā jau esošās datu sagatavošanas saistības, kuras nosaka ES regulējums, nacionālā likumdošana, kā arī pieejamais valsts un ES fondu finansējums, iespējamo respondentu noslodzes palielinājums, iespējas datus iegūt no dažādiem valsts administratīvajiem datu avotiem. Tie ir galvenie kritēriji, kuri ietekmē konkrētu aprēķinu iekļaušanu vai neiekļaušanu programmā.</w:t>
      </w:r>
    </w:p>
    <w:p w:rsidR="00523CCE" w:rsidRPr="00026D80" w:rsidRDefault="001C0271" w:rsidP="00026D80">
      <w:pPr>
        <w:pStyle w:val="ListParagraph"/>
        <w:numPr>
          <w:ilvl w:val="0"/>
          <w:numId w:val="1"/>
        </w:numPr>
        <w:tabs>
          <w:tab w:val="left" w:pos="1134"/>
        </w:tabs>
        <w:spacing w:before="100" w:beforeAutospacing="1" w:after="100" w:afterAutospacing="1" w:line="240" w:lineRule="auto"/>
        <w:ind w:left="0" w:firstLine="720"/>
        <w:jc w:val="center"/>
        <w:rPr>
          <w:rFonts w:ascii="Times New Roman" w:hAnsi="Times New Roman" w:cs="Times New Roman"/>
          <w:b/>
          <w:sz w:val="28"/>
          <w:szCs w:val="28"/>
        </w:rPr>
      </w:pPr>
      <w:r w:rsidRPr="00026D80">
        <w:rPr>
          <w:rFonts w:ascii="Times New Roman" w:hAnsi="Times New Roman" w:cs="Times New Roman"/>
          <w:b/>
          <w:sz w:val="28"/>
          <w:szCs w:val="28"/>
        </w:rPr>
        <w:t xml:space="preserve">Republikas pilsētu </w:t>
      </w:r>
      <w:r w:rsidR="003172E6" w:rsidRPr="00026D80">
        <w:rPr>
          <w:rFonts w:ascii="Times New Roman" w:hAnsi="Times New Roman" w:cs="Times New Roman"/>
          <w:b/>
          <w:sz w:val="28"/>
          <w:szCs w:val="28"/>
        </w:rPr>
        <w:t>PV un IKP</w:t>
      </w:r>
      <w:r w:rsidRPr="00026D80">
        <w:rPr>
          <w:rFonts w:ascii="Times New Roman" w:hAnsi="Times New Roman" w:cs="Times New Roman"/>
          <w:b/>
          <w:sz w:val="28"/>
          <w:szCs w:val="28"/>
        </w:rPr>
        <w:t xml:space="preserve"> </w:t>
      </w:r>
      <w:r w:rsidR="00FC7306" w:rsidRPr="00026D80">
        <w:rPr>
          <w:rFonts w:ascii="Times New Roman" w:hAnsi="Times New Roman" w:cs="Times New Roman"/>
          <w:b/>
          <w:sz w:val="28"/>
          <w:szCs w:val="28"/>
        </w:rPr>
        <w:t xml:space="preserve">aprēķināšanas </w:t>
      </w:r>
      <w:r w:rsidRPr="00026D80">
        <w:rPr>
          <w:rFonts w:ascii="Times New Roman" w:hAnsi="Times New Roman" w:cs="Times New Roman"/>
          <w:b/>
          <w:sz w:val="28"/>
          <w:szCs w:val="28"/>
        </w:rPr>
        <w:t>iespējamība</w:t>
      </w:r>
    </w:p>
    <w:p w:rsidR="00CE78CC" w:rsidRPr="00026D80" w:rsidRDefault="00CE78CC" w:rsidP="00026D80">
      <w:pPr>
        <w:pStyle w:val="Default"/>
        <w:spacing w:before="100" w:beforeAutospacing="1" w:after="100" w:afterAutospacing="1"/>
        <w:ind w:firstLine="720"/>
        <w:jc w:val="both"/>
        <w:rPr>
          <w:rFonts w:ascii="Times New Roman" w:hAnsi="Times New Roman" w:cs="Times New Roman"/>
          <w:color w:val="auto"/>
          <w:sz w:val="28"/>
          <w:szCs w:val="28"/>
        </w:rPr>
      </w:pPr>
      <w:r w:rsidRPr="00026D80">
        <w:rPr>
          <w:rFonts w:ascii="Times New Roman" w:hAnsi="Times New Roman" w:cs="Times New Roman"/>
          <w:color w:val="auto"/>
          <w:sz w:val="28"/>
          <w:szCs w:val="28"/>
        </w:rPr>
        <w:t>PV un IKP aprēķins</w:t>
      </w:r>
      <w:proofErr w:type="gramStart"/>
      <w:r w:rsidRPr="00026D80">
        <w:rPr>
          <w:rFonts w:ascii="Times New Roman" w:hAnsi="Times New Roman" w:cs="Times New Roman"/>
          <w:color w:val="auto"/>
          <w:sz w:val="28"/>
          <w:szCs w:val="28"/>
        </w:rPr>
        <w:t xml:space="preserve"> </w:t>
      </w:r>
      <w:r w:rsidR="00A1017E" w:rsidRPr="00026D80">
        <w:rPr>
          <w:rFonts w:ascii="Times New Roman" w:hAnsi="Times New Roman" w:cs="Times New Roman"/>
          <w:color w:val="auto"/>
          <w:sz w:val="28"/>
          <w:szCs w:val="28"/>
        </w:rPr>
        <w:t xml:space="preserve">vai nu </w:t>
      </w:r>
      <w:r w:rsidRPr="00026D80">
        <w:rPr>
          <w:rFonts w:ascii="Times New Roman" w:hAnsi="Times New Roman" w:cs="Times New Roman"/>
          <w:color w:val="auto"/>
          <w:sz w:val="28"/>
          <w:szCs w:val="28"/>
        </w:rPr>
        <w:t>pa reģioniem</w:t>
      </w:r>
      <w:r w:rsidR="009272B7" w:rsidRPr="00026D80">
        <w:rPr>
          <w:rFonts w:ascii="Times New Roman" w:hAnsi="Times New Roman" w:cs="Times New Roman"/>
          <w:color w:val="auto"/>
          <w:sz w:val="28"/>
          <w:szCs w:val="28"/>
        </w:rPr>
        <w:t>,</w:t>
      </w:r>
      <w:r w:rsidR="00A1017E" w:rsidRPr="00026D80">
        <w:rPr>
          <w:rFonts w:ascii="Times New Roman" w:hAnsi="Times New Roman" w:cs="Times New Roman"/>
          <w:color w:val="auto"/>
          <w:sz w:val="28"/>
          <w:szCs w:val="28"/>
        </w:rPr>
        <w:t xml:space="preserve"> vai pa republikas pilsētām pēc būtības</w:t>
      </w:r>
      <w:r w:rsidRPr="00026D80">
        <w:rPr>
          <w:rFonts w:ascii="Times New Roman" w:hAnsi="Times New Roman" w:cs="Times New Roman"/>
          <w:color w:val="auto"/>
          <w:sz w:val="28"/>
          <w:szCs w:val="28"/>
        </w:rPr>
        <w:t xml:space="preserve"> ir valsts līmenī aprēķinātās PV un IKP </w:t>
      </w:r>
      <w:r w:rsidR="00AB35D7" w:rsidRPr="00026D80">
        <w:rPr>
          <w:rFonts w:ascii="Times New Roman" w:hAnsi="Times New Roman" w:cs="Times New Roman"/>
          <w:color w:val="auto"/>
          <w:sz w:val="28"/>
          <w:szCs w:val="28"/>
        </w:rPr>
        <w:t>attiecināšana uz konkrētām mazākām teritorijām</w:t>
      </w:r>
      <w:r w:rsidRPr="00026D80">
        <w:rPr>
          <w:rFonts w:ascii="Times New Roman" w:hAnsi="Times New Roman" w:cs="Times New Roman"/>
          <w:color w:val="auto"/>
          <w:sz w:val="28"/>
          <w:szCs w:val="28"/>
        </w:rPr>
        <w:t>, izmantojot visu šim nolūkam pieejamo informāciju</w:t>
      </w:r>
      <w:r w:rsidR="003B7445" w:rsidRPr="00026D80">
        <w:rPr>
          <w:rFonts w:ascii="Times New Roman" w:hAnsi="Times New Roman" w:cs="Times New Roman"/>
          <w:color w:val="auto"/>
          <w:sz w:val="28"/>
          <w:szCs w:val="28"/>
        </w:rPr>
        <w:t>, kura ir</w:t>
      </w:r>
      <w:proofErr w:type="gramEnd"/>
      <w:r w:rsidR="003B7445" w:rsidRPr="00026D80">
        <w:rPr>
          <w:rFonts w:ascii="Times New Roman" w:hAnsi="Times New Roman" w:cs="Times New Roman"/>
          <w:color w:val="auto"/>
          <w:sz w:val="28"/>
          <w:szCs w:val="28"/>
        </w:rPr>
        <w:t xml:space="preserve"> iegūta aprēķinu vajadzībām valsts un statistisko reģionu līmenī.</w:t>
      </w:r>
      <w:r w:rsidR="002D160D" w:rsidRPr="00026D80">
        <w:rPr>
          <w:rFonts w:ascii="Times New Roman" w:hAnsi="Times New Roman" w:cs="Times New Roman"/>
          <w:color w:val="auto"/>
          <w:sz w:val="28"/>
          <w:szCs w:val="28"/>
        </w:rPr>
        <w:t xml:space="preserve"> </w:t>
      </w:r>
    </w:p>
    <w:p w:rsidR="00B93060" w:rsidRPr="00026D80" w:rsidRDefault="00D70ABB" w:rsidP="00026D80">
      <w:pPr>
        <w:pStyle w:val="Default"/>
        <w:spacing w:before="100" w:beforeAutospacing="1" w:after="100" w:afterAutospacing="1"/>
        <w:ind w:firstLine="720"/>
        <w:jc w:val="both"/>
        <w:rPr>
          <w:rFonts w:ascii="Times New Roman" w:hAnsi="Times New Roman" w:cs="Times New Roman"/>
          <w:color w:val="auto"/>
          <w:sz w:val="28"/>
          <w:szCs w:val="28"/>
        </w:rPr>
      </w:pPr>
      <w:r w:rsidRPr="00026D80">
        <w:rPr>
          <w:rFonts w:ascii="Times New Roman" w:hAnsi="Times New Roman" w:cs="Times New Roman"/>
          <w:color w:val="auto"/>
          <w:sz w:val="28"/>
          <w:szCs w:val="28"/>
        </w:rPr>
        <w:t>R</w:t>
      </w:r>
      <w:r w:rsidR="00014B7E" w:rsidRPr="00026D80">
        <w:rPr>
          <w:rFonts w:ascii="Times New Roman" w:hAnsi="Times New Roman" w:cs="Times New Roman"/>
          <w:color w:val="auto"/>
          <w:sz w:val="28"/>
          <w:szCs w:val="28"/>
        </w:rPr>
        <w:t>eģionālā</w:t>
      </w:r>
      <w:r w:rsidR="002B335A" w:rsidRPr="00026D80">
        <w:rPr>
          <w:rFonts w:ascii="Times New Roman" w:hAnsi="Times New Roman" w:cs="Times New Roman"/>
          <w:color w:val="auto"/>
          <w:sz w:val="28"/>
          <w:szCs w:val="28"/>
        </w:rPr>
        <w:t>s</w:t>
      </w:r>
      <w:r w:rsidR="00014B7E" w:rsidRPr="00026D80">
        <w:rPr>
          <w:rFonts w:ascii="Times New Roman" w:hAnsi="Times New Roman" w:cs="Times New Roman"/>
          <w:color w:val="auto"/>
          <w:sz w:val="28"/>
          <w:szCs w:val="28"/>
        </w:rPr>
        <w:t xml:space="preserve"> PV</w:t>
      </w:r>
      <w:r w:rsidR="002B335A" w:rsidRPr="00026D80">
        <w:rPr>
          <w:rFonts w:ascii="Times New Roman" w:hAnsi="Times New Roman" w:cs="Times New Roman"/>
          <w:color w:val="auto"/>
          <w:sz w:val="28"/>
          <w:szCs w:val="28"/>
        </w:rPr>
        <w:t xml:space="preserve"> un IKP</w:t>
      </w:r>
      <w:r w:rsidR="00014B7E" w:rsidRPr="00026D80">
        <w:rPr>
          <w:rFonts w:ascii="Times New Roman" w:hAnsi="Times New Roman" w:cs="Times New Roman"/>
          <w:color w:val="auto"/>
          <w:sz w:val="28"/>
          <w:szCs w:val="28"/>
        </w:rPr>
        <w:t xml:space="preserve"> aprēķini </w:t>
      </w:r>
      <w:r w:rsidR="000F66D7" w:rsidRPr="00026D80">
        <w:rPr>
          <w:rFonts w:ascii="Times New Roman" w:hAnsi="Times New Roman" w:cs="Times New Roman"/>
          <w:color w:val="auto"/>
          <w:sz w:val="28"/>
          <w:szCs w:val="28"/>
        </w:rPr>
        <w:t xml:space="preserve">Latvijā </w:t>
      </w:r>
      <w:r w:rsidR="00014B7E" w:rsidRPr="00026D80">
        <w:rPr>
          <w:rFonts w:ascii="Times New Roman" w:hAnsi="Times New Roman" w:cs="Times New Roman"/>
          <w:color w:val="auto"/>
          <w:sz w:val="28"/>
          <w:szCs w:val="28"/>
        </w:rPr>
        <w:t xml:space="preserve">tiek veikti atbilstoši EKS 2010 </w:t>
      </w:r>
      <w:r w:rsidR="000F66D7" w:rsidRPr="00026D80">
        <w:rPr>
          <w:rFonts w:ascii="Times New Roman" w:hAnsi="Times New Roman" w:cs="Times New Roman"/>
          <w:color w:val="auto"/>
          <w:sz w:val="28"/>
          <w:szCs w:val="28"/>
        </w:rPr>
        <w:t>metodoloģijas 13.nodaļā „Reģionālie konti”</w:t>
      </w:r>
      <w:r w:rsidR="00014B7E" w:rsidRPr="00026D80">
        <w:rPr>
          <w:rFonts w:ascii="Times New Roman" w:hAnsi="Times New Roman" w:cs="Times New Roman"/>
          <w:color w:val="auto"/>
          <w:sz w:val="28"/>
          <w:szCs w:val="28"/>
        </w:rPr>
        <w:t xml:space="preserve"> </w:t>
      </w:r>
      <w:r w:rsidR="000F66D7" w:rsidRPr="00026D80">
        <w:rPr>
          <w:rFonts w:ascii="Times New Roman" w:hAnsi="Times New Roman" w:cs="Times New Roman"/>
          <w:color w:val="auto"/>
          <w:sz w:val="28"/>
          <w:szCs w:val="28"/>
        </w:rPr>
        <w:t xml:space="preserve">formulētajām </w:t>
      </w:r>
      <w:r w:rsidR="00014B7E" w:rsidRPr="00026D80">
        <w:rPr>
          <w:rFonts w:ascii="Times New Roman" w:hAnsi="Times New Roman" w:cs="Times New Roman"/>
          <w:color w:val="auto"/>
          <w:sz w:val="28"/>
          <w:szCs w:val="28"/>
        </w:rPr>
        <w:t xml:space="preserve">prasībām un vadlīnijām, </w:t>
      </w:r>
      <w:r w:rsidR="000F66D7" w:rsidRPr="00026D80">
        <w:rPr>
          <w:rFonts w:ascii="Times New Roman" w:hAnsi="Times New Roman" w:cs="Times New Roman"/>
          <w:color w:val="auto"/>
          <w:sz w:val="28"/>
          <w:szCs w:val="28"/>
        </w:rPr>
        <w:t>proti, ievērojot principu, ka</w:t>
      </w:r>
      <w:r w:rsidR="00774CDE" w:rsidRPr="00026D80">
        <w:rPr>
          <w:rFonts w:ascii="Times New Roman" w:hAnsi="Times New Roman" w:cs="Times New Roman"/>
          <w:color w:val="auto"/>
          <w:sz w:val="28"/>
          <w:szCs w:val="28"/>
        </w:rPr>
        <w:t xml:space="preserve"> </w:t>
      </w:r>
      <w:r w:rsidR="000F66D7" w:rsidRPr="00026D80">
        <w:rPr>
          <w:rFonts w:ascii="Times New Roman" w:hAnsi="Times New Roman" w:cs="Times New Roman"/>
          <w:color w:val="auto"/>
          <w:sz w:val="28"/>
          <w:szCs w:val="28"/>
        </w:rPr>
        <w:t>r</w:t>
      </w:r>
      <w:r w:rsidR="00774B71" w:rsidRPr="00026D80">
        <w:rPr>
          <w:rFonts w:ascii="Times New Roman" w:hAnsi="Times New Roman" w:cs="Times New Roman"/>
          <w:color w:val="auto"/>
          <w:sz w:val="28"/>
          <w:szCs w:val="28"/>
        </w:rPr>
        <w:t xml:space="preserve">eģionālie </w:t>
      </w:r>
      <w:r w:rsidR="000F66D7" w:rsidRPr="00026D80">
        <w:rPr>
          <w:rFonts w:ascii="Times New Roman" w:hAnsi="Times New Roman" w:cs="Times New Roman"/>
          <w:color w:val="auto"/>
          <w:sz w:val="28"/>
          <w:szCs w:val="28"/>
        </w:rPr>
        <w:t>aprēķini jā</w:t>
      </w:r>
      <w:r w:rsidR="00774B71" w:rsidRPr="00026D80">
        <w:rPr>
          <w:rFonts w:ascii="Times New Roman" w:hAnsi="Times New Roman" w:cs="Times New Roman"/>
          <w:color w:val="auto"/>
          <w:sz w:val="28"/>
          <w:szCs w:val="28"/>
        </w:rPr>
        <w:t xml:space="preserve">gatavo, pamatojoties uz tieši savāktajiem reģionu datiem un nacionālajiem datiem, kam, </w:t>
      </w:r>
      <w:r w:rsidR="00120902" w:rsidRPr="00026D80">
        <w:rPr>
          <w:rFonts w:ascii="Times New Roman" w:hAnsi="Times New Roman" w:cs="Times New Roman"/>
          <w:color w:val="auto"/>
          <w:sz w:val="28"/>
          <w:szCs w:val="28"/>
        </w:rPr>
        <w:t>izmantojot pieņēmumus</w:t>
      </w:r>
      <w:r w:rsidR="00774B71" w:rsidRPr="00026D80">
        <w:rPr>
          <w:rFonts w:ascii="Times New Roman" w:hAnsi="Times New Roman" w:cs="Times New Roman"/>
          <w:color w:val="auto"/>
          <w:sz w:val="28"/>
          <w:szCs w:val="28"/>
        </w:rPr>
        <w:t>, piemērots reģionālais sadalījums.</w:t>
      </w:r>
      <w:r w:rsidR="00553B06" w:rsidRPr="00026D80">
        <w:rPr>
          <w:rFonts w:ascii="Times New Roman" w:hAnsi="Times New Roman" w:cs="Times New Roman"/>
          <w:color w:val="auto"/>
          <w:sz w:val="28"/>
          <w:szCs w:val="28"/>
        </w:rPr>
        <w:t xml:space="preserve"> Atbilstoši metodoloģijai, kad ekonomiskās darbības novērtēšanai </w:t>
      </w:r>
      <w:proofErr w:type="gramStart"/>
      <w:r w:rsidR="00553B06" w:rsidRPr="00026D80">
        <w:rPr>
          <w:rFonts w:ascii="Times New Roman" w:hAnsi="Times New Roman" w:cs="Times New Roman"/>
          <w:color w:val="auto"/>
          <w:sz w:val="28"/>
          <w:szCs w:val="28"/>
        </w:rPr>
        <w:t>trūkst savlaicīga un ticama reģionālā informācija</w:t>
      </w:r>
      <w:proofErr w:type="gramEnd"/>
      <w:r w:rsidR="00553B06" w:rsidRPr="00026D80">
        <w:rPr>
          <w:rFonts w:ascii="Times New Roman" w:hAnsi="Times New Roman" w:cs="Times New Roman"/>
          <w:color w:val="auto"/>
          <w:sz w:val="28"/>
          <w:szCs w:val="28"/>
        </w:rPr>
        <w:t>, tiek pielietoti dažādi papildus aprēķini un ekspertu novērtējumi.</w:t>
      </w:r>
      <w:r w:rsidR="00774B71" w:rsidRPr="00026D80">
        <w:rPr>
          <w:rFonts w:ascii="Times New Roman" w:hAnsi="Times New Roman" w:cs="Times New Roman"/>
          <w:color w:val="auto"/>
          <w:sz w:val="28"/>
          <w:szCs w:val="28"/>
        </w:rPr>
        <w:t xml:space="preserve"> </w:t>
      </w:r>
      <w:r w:rsidR="00553B06" w:rsidRPr="00026D80">
        <w:rPr>
          <w:rFonts w:ascii="Times New Roman" w:hAnsi="Times New Roman" w:cs="Times New Roman"/>
          <w:color w:val="auto"/>
          <w:sz w:val="28"/>
          <w:szCs w:val="28"/>
        </w:rPr>
        <w:t>T</w:t>
      </w:r>
      <w:r w:rsidR="00187A66" w:rsidRPr="00026D80">
        <w:rPr>
          <w:rFonts w:ascii="Times New Roman" w:hAnsi="Times New Roman" w:cs="Times New Roman"/>
          <w:color w:val="auto"/>
          <w:sz w:val="28"/>
          <w:szCs w:val="28"/>
        </w:rPr>
        <w:t xml:space="preserve">ie ir sīkāk aprakstīti šī ziņojuma </w:t>
      </w:r>
      <w:r w:rsidR="00B93060" w:rsidRPr="00026D80">
        <w:rPr>
          <w:rFonts w:ascii="Times New Roman" w:hAnsi="Times New Roman" w:cs="Times New Roman"/>
          <w:color w:val="auto"/>
          <w:sz w:val="28"/>
          <w:szCs w:val="28"/>
        </w:rPr>
        <w:t>3.1.</w:t>
      </w:r>
      <w:r w:rsidR="00187A66" w:rsidRPr="00026D80">
        <w:rPr>
          <w:rFonts w:ascii="Times New Roman" w:hAnsi="Times New Roman" w:cs="Times New Roman"/>
          <w:color w:val="auto"/>
          <w:sz w:val="28"/>
          <w:szCs w:val="28"/>
        </w:rPr>
        <w:t>punktā.</w:t>
      </w:r>
    </w:p>
    <w:p w:rsidR="00AD08C7" w:rsidRPr="00026D80" w:rsidRDefault="00014B7E" w:rsidP="00026D80">
      <w:pPr>
        <w:pStyle w:val="Default"/>
        <w:spacing w:before="100" w:beforeAutospacing="1" w:after="100" w:afterAutospacing="1"/>
        <w:ind w:firstLine="720"/>
        <w:jc w:val="both"/>
        <w:rPr>
          <w:rFonts w:ascii="Times New Roman" w:hAnsi="Times New Roman" w:cs="Times New Roman"/>
          <w:sz w:val="28"/>
          <w:szCs w:val="28"/>
        </w:rPr>
      </w:pPr>
      <w:r w:rsidRPr="00026D80">
        <w:rPr>
          <w:rFonts w:ascii="Times New Roman" w:hAnsi="Times New Roman" w:cs="Times New Roman"/>
          <w:color w:val="auto"/>
          <w:sz w:val="28"/>
          <w:szCs w:val="28"/>
        </w:rPr>
        <w:t xml:space="preserve">Latvijā </w:t>
      </w:r>
      <w:r w:rsidR="00C677BB" w:rsidRPr="00026D80">
        <w:rPr>
          <w:rFonts w:ascii="Times New Roman" w:hAnsi="Times New Roman" w:cs="Times New Roman"/>
          <w:color w:val="auto"/>
          <w:sz w:val="28"/>
          <w:szCs w:val="28"/>
        </w:rPr>
        <w:t xml:space="preserve">tiek lietota </w:t>
      </w:r>
      <w:r w:rsidRPr="00026D80">
        <w:rPr>
          <w:rFonts w:ascii="Times New Roman" w:hAnsi="Times New Roman" w:cs="Times New Roman"/>
          <w:color w:val="auto"/>
          <w:sz w:val="28"/>
          <w:szCs w:val="28"/>
        </w:rPr>
        <w:t xml:space="preserve">reģionālā IKP aprēķinu </w:t>
      </w:r>
      <w:proofErr w:type="spellStart"/>
      <w:r w:rsidR="00C677BB" w:rsidRPr="00026D80">
        <w:rPr>
          <w:rFonts w:ascii="Times New Roman" w:hAnsi="Times New Roman" w:cs="Times New Roman"/>
          <w:color w:val="auto"/>
          <w:sz w:val="28"/>
          <w:szCs w:val="28"/>
        </w:rPr>
        <w:t>pseido</w:t>
      </w:r>
      <w:proofErr w:type="spellEnd"/>
      <w:r w:rsidR="00C677BB" w:rsidRPr="00026D80">
        <w:rPr>
          <w:rFonts w:ascii="Times New Roman" w:hAnsi="Times New Roman" w:cs="Times New Roman"/>
          <w:color w:val="auto"/>
          <w:sz w:val="28"/>
          <w:szCs w:val="28"/>
        </w:rPr>
        <w:t xml:space="preserve"> metode „no apakšas uz augšu”, kas ir viena no </w:t>
      </w:r>
      <w:r w:rsidRPr="00026D80">
        <w:rPr>
          <w:rFonts w:ascii="Times New Roman" w:hAnsi="Times New Roman" w:cs="Times New Roman"/>
          <w:color w:val="auto"/>
          <w:sz w:val="28"/>
          <w:szCs w:val="28"/>
        </w:rPr>
        <w:t xml:space="preserve">2013.gadā Eurostat </w:t>
      </w:r>
      <w:r w:rsidR="00C677BB" w:rsidRPr="00026D80">
        <w:rPr>
          <w:rFonts w:ascii="Times New Roman" w:hAnsi="Times New Roman" w:cs="Times New Roman"/>
          <w:color w:val="auto"/>
          <w:sz w:val="28"/>
          <w:szCs w:val="28"/>
        </w:rPr>
        <w:t xml:space="preserve">publicētajā </w:t>
      </w:r>
      <w:r w:rsidRPr="00026D80">
        <w:rPr>
          <w:rFonts w:ascii="Times New Roman" w:hAnsi="Times New Roman" w:cs="Times New Roman"/>
          <w:color w:val="auto"/>
          <w:sz w:val="28"/>
          <w:szCs w:val="28"/>
        </w:rPr>
        <w:t xml:space="preserve">„Reģionālo kontu metožu </w:t>
      </w:r>
      <w:r w:rsidR="00C677BB" w:rsidRPr="00026D80">
        <w:rPr>
          <w:rFonts w:ascii="Times New Roman" w:hAnsi="Times New Roman" w:cs="Times New Roman"/>
          <w:color w:val="auto"/>
          <w:sz w:val="28"/>
          <w:szCs w:val="28"/>
        </w:rPr>
        <w:t>rokasgrāmatā”</w:t>
      </w:r>
      <w:r w:rsidR="0021322B" w:rsidRPr="00026D80">
        <w:rPr>
          <w:rStyle w:val="FootnoteReference"/>
          <w:rFonts w:ascii="Times New Roman" w:hAnsi="Times New Roman" w:cs="Times New Roman"/>
          <w:color w:val="auto"/>
          <w:sz w:val="28"/>
          <w:szCs w:val="28"/>
        </w:rPr>
        <w:footnoteReference w:id="5"/>
      </w:r>
      <w:r w:rsidR="00C677BB" w:rsidRPr="00026D80">
        <w:rPr>
          <w:rFonts w:ascii="Times New Roman" w:hAnsi="Times New Roman" w:cs="Times New Roman"/>
          <w:color w:val="auto"/>
          <w:sz w:val="28"/>
          <w:szCs w:val="28"/>
        </w:rPr>
        <w:t xml:space="preserve"> rekomendētajām metodēm</w:t>
      </w:r>
      <w:r w:rsidR="0021322B" w:rsidRPr="00026D80">
        <w:rPr>
          <w:rStyle w:val="CommentReference"/>
          <w:rFonts w:ascii="Times New Roman" w:hAnsi="Times New Roman" w:cs="Times New Roman"/>
          <w:sz w:val="28"/>
          <w:szCs w:val="28"/>
        </w:rPr>
        <w:t>.</w:t>
      </w:r>
      <w:r w:rsidR="007529EB" w:rsidRPr="00026D80">
        <w:rPr>
          <w:rStyle w:val="CommentReference"/>
          <w:rFonts w:ascii="Times New Roman" w:hAnsi="Times New Roman" w:cs="Times New Roman"/>
          <w:sz w:val="28"/>
          <w:szCs w:val="28"/>
        </w:rPr>
        <w:t xml:space="preserve"> </w:t>
      </w:r>
      <w:proofErr w:type="spellStart"/>
      <w:r w:rsidR="00AD08C7" w:rsidRPr="00026D80">
        <w:rPr>
          <w:rFonts w:ascii="Times New Roman" w:hAnsi="Times New Roman" w:cs="Times New Roman"/>
          <w:color w:val="auto"/>
          <w:sz w:val="28"/>
          <w:szCs w:val="28"/>
        </w:rPr>
        <w:t>Pseido</w:t>
      </w:r>
      <w:proofErr w:type="spellEnd"/>
      <w:r w:rsidR="00AD08C7" w:rsidRPr="00026D80">
        <w:rPr>
          <w:rFonts w:ascii="Times New Roman" w:hAnsi="Times New Roman" w:cs="Times New Roman"/>
          <w:color w:val="auto"/>
          <w:sz w:val="28"/>
          <w:szCs w:val="28"/>
        </w:rPr>
        <w:t xml:space="preserve"> metode ir izvēlēta tāpēc, ka</w:t>
      </w:r>
      <w:r w:rsidR="00FB0DFD" w:rsidRPr="00026D80">
        <w:rPr>
          <w:rFonts w:ascii="Times New Roman" w:hAnsi="Times New Roman" w:cs="Times New Roman"/>
          <w:color w:val="auto"/>
          <w:sz w:val="28"/>
          <w:szCs w:val="28"/>
        </w:rPr>
        <w:t xml:space="preserve"> </w:t>
      </w:r>
      <w:r w:rsidR="00832F9D" w:rsidRPr="00026D80">
        <w:rPr>
          <w:rFonts w:ascii="Times New Roman" w:hAnsi="Times New Roman" w:cs="Times New Roman"/>
          <w:color w:val="auto"/>
          <w:sz w:val="28"/>
          <w:szCs w:val="28"/>
        </w:rPr>
        <w:t xml:space="preserve">valstī </w:t>
      </w:r>
      <w:r w:rsidR="00FB0DFD" w:rsidRPr="00026D80">
        <w:rPr>
          <w:rFonts w:ascii="Times New Roman" w:hAnsi="Times New Roman" w:cs="Times New Roman"/>
          <w:color w:val="auto"/>
          <w:sz w:val="28"/>
          <w:szCs w:val="28"/>
        </w:rPr>
        <w:t>esošā datu uzskaites</w:t>
      </w:r>
      <w:r w:rsidR="008023A9" w:rsidRPr="00026D80">
        <w:rPr>
          <w:rFonts w:ascii="Times New Roman" w:hAnsi="Times New Roman" w:cs="Times New Roman"/>
          <w:color w:val="auto"/>
          <w:sz w:val="28"/>
          <w:szCs w:val="28"/>
        </w:rPr>
        <w:t xml:space="preserve"> sistēma neļauj</w:t>
      </w:r>
      <w:r w:rsidR="00AD08C7" w:rsidRPr="00026D80">
        <w:rPr>
          <w:rFonts w:ascii="Times New Roman" w:hAnsi="Times New Roman" w:cs="Times New Roman"/>
          <w:color w:val="auto"/>
          <w:sz w:val="28"/>
          <w:szCs w:val="28"/>
        </w:rPr>
        <w:t xml:space="preserve"> Pārvalde</w:t>
      </w:r>
      <w:r w:rsidR="008023A9" w:rsidRPr="00026D80">
        <w:rPr>
          <w:rFonts w:ascii="Times New Roman" w:hAnsi="Times New Roman" w:cs="Times New Roman"/>
          <w:color w:val="auto"/>
          <w:sz w:val="28"/>
          <w:szCs w:val="28"/>
        </w:rPr>
        <w:t>i iegūt</w:t>
      </w:r>
      <w:r w:rsidR="00AD08C7" w:rsidRPr="00026D80">
        <w:rPr>
          <w:rFonts w:ascii="Times New Roman" w:hAnsi="Times New Roman" w:cs="Times New Roman"/>
          <w:color w:val="auto"/>
          <w:sz w:val="28"/>
          <w:szCs w:val="28"/>
        </w:rPr>
        <w:t xml:space="preserve"> </w:t>
      </w:r>
      <w:r w:rsidR="008023A9" w:rsidRPr="00026D80">
        <w:rPr>
          <w:rFonts w:ascii="Times New Roman" w:hAnsi="Times New Roman" w:cs="Times New Roman"/>
          <w:color w:val="auto"/>
          <w:sz w:val="28"/>
          <w:szCs w:val="28"/>
        </w:rPr>
        <w:t xml:space="preserve">pietiekoši </w:t>
      </w:r>
      <w:r w:rsidR="00AD08C7" w:rsidRPr="00026D80">
        <w:rPr>
          <w:rFonts w:ascii="Times New Roman" w:hAnsi="Times New Roman" w:cs="Times New Roman"/>
          <w:color w:val="auto"/>
          <w:sz w:val="28"/>
          <w:szCs w:val="28"/>
        </w:rPr>
        <w:t>detalizētu</w:t>
      </w:r>
      <w:r w:rsidR="008023A9" w:rsidRPr="00026D80">
        <w:rPr>
          <w:rFonts w:ascii="Times New Roman" w:hAnsi="Times New Roman" w:cs="Times New Roman"/>
          <w:color w:val="auto"/>
          <w:sz w:val="28"/>
          <w:szCs w:val="28"/>
        </w:rPr>
        <w:t>s</w:t>
      </w:r>
      <w:r w:rsidR="00AD08C7" w:rsidRPr="00026D80">
        <w:rPr>
          <w:rFonts w:ascii="Times New Roman" w:hAnsi="Times New Roman" w:cs="Times New Roman"/>
          <w:color w:val="auto"/>
          <w:sz w:val="28"/>
          <w:szCs w:val="28"/>
        </w:rPr>
        <w:t xml:space="preserve"> datu</w:t>
      </w:r>
      <w:r w:rsidR="008023A9" w:rsidRPr="00026D80">
        <w:rPr>
          <w:rFonts w:ascii="Times New Roman" w:hAnsi="Times New Roman" w:cs="Times New Roman"/>
          <w:color w:val="auto"/>
          <w:sz w:val="28"/>
          <w:szCs w:val="28"/>
        </w:rPr>
        <w:t>s</w:t>
      </w:r>
      <w:r w:rsidR="00AD08C7" w:rsidRPr="00026D80">
        <w:rPr>
          <w:rFonts w:ascii="Times New Roman" w:hAnsi="Times New Roman" w:cs="Times New Roman"/>
          <w:color w:val="auto"/>
          <w:sz w:val="28"/>
          <w:szCs w:val="28"/>
        </w:rPr>
        <w:t>, lai varētu tiešā veidā aprēķināt PV</w:t>
      </w:r>
      <w:r w:rsidR="00EB2261" w:rsidRPr="00026D80">
        <w:rPr>
          <w:rFonts w:ascii="Times New Roman" w:hAnsi="Times New Roman" w:cs="Times New Roman"/>
          <w:color w:val="auto"/>
          <w:sz w:val="28"/>
          <w:szCs w:val="28"/>
        </w:rPr>
        <w:t xml:space="preserve"> katrai</w:t>
      </w:r>
      <w:r w:rsidR="00AD08C7" w:rsidRPr="00026D80">
        <w:rPr>
          <w:rFonts w:ascii="Times New Roman" w:hAnsi="Times New Roman" w:cs="Times New Roman"/>
          <w:color w:val="auto"/>
          <w:sz w:val="28"/>
          <w:szCs w:val="28"/>
        </w:rPr>
        <w:t xml:space="preserve"> vietēj</w:t>
      </w:r>
      <w:r w:rsidR="00EB2261" w:rsidRPr="00026D80">
        <w:rPr>
          <w:rFonts w:ascii="Times New Roman" w:hAnsi="Times New Roman" w:cs="Times New Roman"/>
          <w:color w:val="auto"/>
          <w:sz w:val="28"/>
          <w:szCs w:val="28"/>
        </w:rPr>
        <w:t>ai</w:t>
      </w:r>
      <w:r w:rsidR="00AD08C7" w:rsidRPr="00026D80">
        <w:rPr>
          <w:rFonts w:ascii="Times New Roman" w:hAnsi="Times New Roman" w:cs="Times New Roman"/>
          <w:color w:val="auto"/>
          <w:sz w:val="28"/>
          <w:szCs w:val="28"/>
        </w:rPr>
        <w:t xml:space="preserve"> darbības veid</w:t>
      </w:r>
      <w:r w:rsidR="00EB2261" w:rsidRPr="00026D80">
        <w:rPr>
          <w:rFonts w:ascii="Times New Roman" w:hAnsi="Times New Roman" w:cs="Times New Roman"/>
          <w:color w:val="auto"/>
          <w:sz w:val="28"/>
          <w:szCs w:val="28"/>
        </w:rPr>
        <w:t>a</w:t>
      </w:r>
      <w:r w:rsidR="00AD08C7" w:rsidRPr="00026D80">
        <w:rPr>
          <w:rFonts w:ascii="Times New Roman" w:hAnsi="Times New Roman" w:cs="Times New Roman"/>
          <w:color w:val="auto"/>
          <w:sz w:val="28"/>
          <w:szCs w:val="28"/>
        </w:rPr>
        <w:t xml:space="preserve"> vienīb</w:t>
      </w:r>
      <w:r w:rsidR="00EB2261" w:rsidRPr="00026D80">
        <w:rPr>
          <w:rFonts w:ascii="Times New Roman" w:hAnsi="Times New Roman" w:cs="Times New Roman"/>
          <w:color w:val="auto"/>
          <w:sz w:val="28"/>
          <w:szCs w:val="28"/>
        </w:rPr>
        <w:t>ai</w:t>
      </w:r>
      <w:r w:rsidR="00EB2261" w:rsidRPr="00026D80">
        <w:rPr>
          <w:rStyle w:val="FootnoteReference"/>
          <w:rFonts w:ascii="Times New Roman" w:hAnsi="Times New Roman" w:cs="Times New Roman"/>
          <w:color w:val="auto"/>
          <w:sz w:val="28"/>
          <w:szCs w:val="28"/>
        </w:rPr>
        <w:footnoteReference w:id="6"/>
      </w:r>
      <w:r w:rsidR="00EB2261" w:rsidRPr="00026D80">
        <w:rPr>
          <w:rFonts w:ascii="Times New Roman" w:hAnsi="Times New Roman" w:cs="Times New Roman"/>
          <w:color w:val="auto"/>
          <w:sz w:val="28"/>
          <w:szCs w:val="28"/>
        </w:rPr>
        <w:t xml:space="preserve"> (turpmāk – VDVV)</w:t>
      </w:r>
      <w:r w:rsidR="008400D0" w:rsidRPr="00026D80">
        <w:rPr>
          <w:rFonts w:ascii="Times New Roman" w:hAnsi="Times New Roman" w:cs="Times New Roman"/>
          <w:color w:val="auto"/>
          <w:sz w:val="28"/>
          <w:szCs w:val="28"/>
        </w:rPr>
        <w:t>, kuras summējot varētu tiešā veidā iegūt PV novērtējumu dažādās administratīvajās teritorijās</w:t>
      </w:r>
      <w:r w:rsidR="00AD08C7" w:rsidRPr="00026D80">
        <w:rPr>
          <w:rFonts w:ascii="Times New Roman" w:hAnsi="Times New Roman" w:cs="Times New Roman"/>
          <w:color w:val="auto"/>
          <w:sz w:val="28"/>
          <w:szCs w:val="28"/>
        </w:rPr>
        <w:t xml:space="preserve">. </w:t>
      </w:r>
      <w:r w:rsidR="00AD08C7" w:rsidRPr="00026D80">
        <w:rPr>
          <w:rFonts w:ascii="Times New Roman" w:hAnsi="Times New Roman" w:cs="Times New Roman"/>
          <w:color w:val="auto"/>
          <w:sz w:val="28"/>
          <w:szCs w:val="28"/>
          <w:u w:val="single"/>
        </w:rPr>
        <w:t xml:space="preserve">Minētā metode </w:t>
      </w:r>
      <w:r w:rsidR="00CC6D0A" w:rsidRPr="00026D80">
        <w:rPr>
          <w:rFonts w:ascii="Times New Roman" w:hAnsi="Times New Roman" w:cs="Times New Roman"/>
          <w:color w:val="auto"/>
          <w:sz w:val="28"/>
          <w:szCs w:val="28"/>
          <w:u w:val="single"/>
        </w:rPr>
        <w:t>ļ</w:t>
      </w:r>
      <w:r w:rsidR="00C677BB" w:rsidRPr="00026D80">
        <w:rPr>
          <w:rFonts w:ascii="Times New Roman" w:hAnsi="Times New Roman" w:cs="Times New Roman"/>
          <w:color w:val="auto"/>
          <w:sz w:val="28"/>
          <w:szCs w:val="28"/>
          <w:u w:val="single"/>
        </w:rPr>
        <w:t xml:space="preserve">auj iegūt tuvinātu reģionālās PV un IKP </w:t>
      </w:r>
      <w:r w:rsidR="00AD08C7" w:rsidRPr="00026D80">
        <w:rPr>
          <w:rFonts w:ascii="Times New Roman" w:hAnsi="Times New Roman" w:cs="Times New Roman"/>
          <w:color w:val="auto"/>
          <w:sz w:val="28"/>
          <w:szCs w:val="28"/>
          <w:u w:val="single"/>
        </w:rPr>
        <w:t>sadalī</w:t>
      </w:r>
      <w:r w:rsidR="00C677BB" w:rsidRPr="00026D80">
        <w:rPr>
          <w:rFonts w:ascii="Times New Roman" w:hAnsi="Times New Roman" w:cs="Times New Roman"/>
          <w:color w:val="auto"/>
          <w:sz w:val="28"/>
          <w:szCs w:val="28"/>
          <w:u w:val="single"/>
        </w:rPr>
        <w:t>juma</w:t>
      </w:r>
      <w:r w:rsidR="00AD08C7" w:rsidRPr="00026D80">
        <w:rPr>
          <w:rFonts w:ascii="Times New Roman" w:hAnsi="Times New Roman" w:cs="Times New Roman"/>
          <w:color w:val="auto"/>
          <w:sz w:val="28"/>
          <w:szCs w:val="28"/>
          <w:u w:val="single"/>
        </w:rPr>
        <w:t xml:space="preserve"> pa reģioniem</w:t>
      </w:r>
      <w:r w:rsidR="00C677BB" w:rsidRPr="00026D80">
        <w:rPr>
          <w:rFonts w:ascii="Times New Roman" w:hAnsi="Times New Roman" w:cs="Times New Roman"/>
          <w:color w:val="auto"/>
          <w:sz w:val="28"/>
          <w:szCs w:val="28"/>
          <w:u w:val="single"/>
        </w:rPr>
        <w:t xml:space="preserve"> novērtējumu.</w:t>
      </w:r>
      <w:r w:rsidR="00AD08C7" w:rsidRPr="00026D80">
        <w:rPr>
          <w:rFonts w:ascii="Times New Roman" w:hAnsi="Times New Roman" w:cs="Times New Roman"/>
          <w:color w:val="auto"/>
          <w:sz w:val="28"/>
          <w:szCs w:val="28"/>
        </w:rPr>
        <w:t xml:space="preserve"> </w:t>
      </w:r>
      <w:r w:rsidR="00800B0A" w:rsidRPr="00026D80">
        <w:rPr>
          <w:rFonts w:ascii="Times New Roman" w:hAnsi="Times New Roman" w:cs="Times New Roman"/>
          <w:color w:val="auto"/>
          <w:sz w:val="28"/>
          <w:szCs w:val="28"/>
        </w:rPr>
        <w:t>Veicot aprēķinus, t</w:t>
      </w:r>
      <w:r w:rsidR="00AD08C7" w:rsidRPr="00026D80">
        <w:rPr>
          <w:rFonts w:ascii="Times New Roman" w:hAnsi="Times New Roman" w:cs="Times New Roman"/>
          <w:color w:val="auto"/>
          <w:sz w:val="28"/>
          <w:szCs w:val="28"/>
        </w:rPr>
        <w:t xml:space="preserve">iek izdarīts pieņēmums, ka visi uzņēmuma vienā un tajā pašā nozarē nodarbinātie visās </w:t>
      </w:r>
      <w:r w:rsidR="00C677BB" w:rsidRPr="00026D80">
        <w:rPr>
          <w:rFonts w:ascii="Times New Roman" w:hAnsi="Times New Roman" w:cs="Times New Roman"/>
          <w:color w:val="auto"/>
          <w:sz w:val="28"/>
          <w:szCs w:val="28"/>
        </w:rPr>
        <w:t>vietējās darbības veida vienībās</w:t>
      </w:r>
      <w:r w:rsidR="00AD08C7" w:rsidRPr="00026D80">
        <w:rPr>
          <w:rFonts w:ascii="Times New Roman" w:hAnsi="Times New Roman" w:cs="Times New Roman"/>
          <w:color w:val="auto"/>
          <w:sz w:val="28"/>
          <w:szCs w:val="28"/>
        </w:rPr>
        <w:t xml:space="preserve"> ir vienlīdz produktīvi, t.i., vienā uzņēmuma nozarē strādājošie</w:t>
      </w:r>
      <w:r w:rsidR="007618F2" w:rsidRPr="00026D80">
        <w:rPr>
          <w:rFonts w:ascii="Times New Roman" w:hAnsi="Times New Roman" w:cs="Times New Roman"/>
          <w:color w:val="auto"/>
          <w:sz w:val="28"/>
          <w:szCs w:val="28"/>
        </w:rPr>
        <w:t xml:space="preserve"> </w:t>
      </w:r>
      <w:r w:rsidR="00AD08C7" w:rsidRPr="00026D80">
        <w:rPr>
          <w:rFonts w:ascii="Times New Roman" w:hAnsi="Times New Roman" w:cs="Times New Roman"/>
          <w:color w:val="auto"/>
          <w:sz w:val="28"/>
          <w:szCs w:val="28"/>
        </w:rPr>
        <w:t xml:space="preserve">rada vienu un to pašu PV </w:t>
      </w:r>
      <w:r w:rsidR="00D7582A" w:rsidRPr="00026D80">
        <w:rPr>
          <w:rFonts w:ascii="Times New Roman" w:hAnsi="Times New Roman" w:cs="Times New Roman"/>
          <w:color w:val="auto"/>
          <w:sz w:val="28"/>
          <w:szCs w:val="28"/>
        </w:rPr>
        <w:t xml:space="preserve">apjomu </w:t>
      </w:r>
      <w:r w:rsidR="00AD08C7" w:rsidRPr="00026D80">
        <w:rPr>
          <w:rFonts w:ascii="Times New Roman" w:hAnsi="Times New Roman" w:cs="Times New Roman"/>
          <w:color w:val="auto"/>
          <w:sz w:val="28"/>
          <w:szCs w:val="28"/>
        </w:rPr>
        <w:t xml:space="preserve">neatkarīgi no </w:t>
      </w:r>
      <w:r w:rsidR="00C677BB" w:rsidRPr="00026D80">
        <w:rPr>
          <w:rFonts w:ascii="Times New Roman" w:hAnsi="Times New Roman" w:cs="Times New Roman"/>
          <w:color w:val="auto"/>
          <w:sz w:val="28"/>
          <w:szCs w:val="28"/>
        </w:rPr>
        <w:t>ražotnes</w:t>
      </w:r>
      <w:r w:rsidR="00AD08C7" w:rsidRPr="00026D80">
        <w:rPr>
          <w:rFonts w:ascii="Times New Roman" w:hAnsi="Times New Roman" w:cs="Times New Roman"/>
          <w:color w:val="auto"/>
          <w:sz w:val="28"/>
          <w:szCs w:val="28"/>
        </w:rPr>
        <w:t xml:space="preserve"> teritoriālās atrašanās vietas.</w:t>
      </w:r>
      <w:r w:rsidR="00201A20" w:rsidRPr="00026D80">
        <w:rPr>
          <w:rFonts w:ascii="Times New Roman" w:hAnsi="Times New Roman" w:cs="Times New Roman"/>
          <w:color w:val="auto"/>
          <w:sz w:val="28"/>
          <w:szCs w:val="28"/>
        </w:rPr>
        <w:t xml:space="preserve"> </w:t>
      </w:r>
      <w:r w:rsidR="00AD08C7" w:rsidRPr="00026D80">
        <w:rPr>
          <w:rFonts w:ascii="Times New Roman" w:hAnsi="Times New Roman" w:cs="Times New Roman"/>
          <w:sz w:val="28"/>
          <w:szCs w:val="28"/>
        </w:rPr>
        <w:t>Šādā veidā tiek sadalīti aptuveni 55</w:t>
      </w:r>
      <w:r w:rsidR="008E2853" w:rsidRPr="00026D80">
        <w:rPr>
          <w:rFonts w:ascii="Times New Roman" w:hAnsi="Times New Roman" w:cs="Times New Roman"/>
          <w:sz w:val="28"/>
          <w:szCs w:val="28"/>
        </w:rPr>
        <w:t>–</w:t>
      </w:r>
      <w:r w:rsidR="00AD08C7" w:rsidRPr="00026D80">
        <w:rPr>
          <w:rFonts w:ascii="Times New Roman" w:hAnsi="Times New Roman" w:cs="Times New Roman"/>
          <w:sz w:val="28"/>
          <w:szCs w:val="28"/>
        </w:rPr>
        <w:t>60% no valsts līmenī aprēķināt</w:t>
      </w:r>
      <w:r w:rsidR="00201A20" w:rsidRPr="00026D80">
        <w:rPr>
          <w:rFonts w:ascii="Times New Roman" w:hAnsi="Times New Roman" w:cs="Times New Roman"/>
          <w:sz w:val="28"/>
          <w:szCs w:val="28"/>
        </w:rPr>
        <w:t>ā</w:t>
      </w:r>
      <w:r w:rsidR="00AD08C7" w:rsidRPr="00026D80">
        <w:rPr>
          <w:rFonts w:ascii="Times New Roman" w:hAnsi="Times New Roman" w:cs="Times New Roman"/>
          <w:sz w:val="28"/>
          <w:szCs w:val="28"/>
        </w:rPr>
        <w:t xml:space="preserve"> IKP (aptuveni 65</w:t>
      </w:r>
      <w:r w:rsidR="008E2853" w:rsidRPr="00026D80">
        <w:rPr>
          <w:rFonts w:ascii="Times New Roman" w:hAnsi="Times New Roman" w:cs="Times New Roman"/>
          <w:sz w:val="28"/>
          <w:szCs w:val="28"/>
        </w:rPr>
        <w:t>–</w:t>
      </w:r>
      <w:r w:rsidR="00AD08C7" w:rsidRPr="00026D80">
        <w:rPr>
          <w:rFonts w:ascii="Times New Roman" w:hAnsi="Times New Roman" w:cs="Times New Roman"/>
          <w:sz w:val="28"/>
          <w:szCs w:val="28"/>
        </w:rPr>
        <w:t xml:space="preserve">70% no PV). </w:t>
      </w:r>
    </w:p>
    <w:p w:rsidR="00CF1071" w:rsidRPr="00026D80" w:rsidRDefault="00C92334" w:rsidP="00026D80">
      <w:pPr>
        <w:spacing w:before="100" w:beforeAutospacing="1" w:after="100" w:afterAutospacing="1" w:line="240" w:lineRule="auto"/>
        <w:ind w:firstLine="720"/>
        <w:jc w:val="both"/>
        <w:rPr>
          <w:rFonts w:ascii="Times New Roman" w:hAnsi="Times New Roman" w:cs="Times New Roman"/>
          <w:sz w:val="28"/>
          <w:szCs w:val="28"/>
        </w:rPr>
      </w:pPr>
      <w:r w:rsidRPr="00026D80">
        <w:rPr>
          <w:rFonts w:ascii="Times New Roman" w:hAnsi="Times New Roman" w:cs="Times New Roman"/>
          <w:sz w:val="28"/>
          <w:szCs w:val="28"/>
        </w:rPr>
        <w:lastRenderedPageBreak/>
        <w:t xml:space="preserve">Reģiona IKP </w:t>
      </w:r>
      <w:r w:rsidR="00774B71" w:rsidRPr="00026D80">
        <w:rPr>
          <w:rFonts w:ascii="Times New Roman" w:hAnsi="Times New Roman" w:cs="Times New Roman"/>
          <w:sz w:val="28"/>
          <w:szCs w:val="28"/>
        </w:rPr>
        <w:t xml:space="preserve">Latvijā </w:t>
      </w:r>
      <w:r w:rsidRPr="00026D80">
        <w:rPr>
          <w:rFonts w:ascii="Times New Roman" w:hAnsi="Times New Roman" w:cs="Times New Roman"/>
          <w:sz w:val="28"/>
          <w:szCs w:val="28"/>
        </w:rPr>
        <w:t xml:space="preserve">tiek aprēķināts no ražošanas aspekta, </w:t>
      </w:r>
      <w:proofErr w:type="gramStart"/>
      <w:r w:rsidRPr="00026D80">
        <w:rPr>
          <w:rFonts w:ascii="Times New Roman" w:hAnsi="Times New Roman" w:cs="Times New Roman"/>
          <w:sz w:val="28"/>
          <w:szCs w:val="28"/>
        </w:rPr>
        <w:t>t.i.</w:t>
      </w:r>
      <w:proofErr w:type="gramEnd"/>
      <w:r w:rsidRPr="00026D80">
        <w:rPr>
          <w:rFonts w:ascii="Times New Roman" w:hAnsi="Times New Roman" w:cs="Times New Roman"/>
          <w:sz w:val="28"/>
          <w:szCs w:val="28"/>
        </w:rPr>
        <w:t xml:space="preserve"> r</w:t>
      </w:r>
      <w:r w:rsidR="00673EAA" w:rsidRPr="00026D80">
        <w:rPr>
          <w:rFonts w:ascii="Times New Roman" w:hAnsi="Times New Roman" w:cs="Times New Roman"/>
          <w:sz w:val="28"/>
          <w:szCs w:val="28"/>
        </w:rPr>
        <w:t xml:space="preserve">eģiona IKP tiek aprēķināts kā visu </w:t>
      </w:r>
      <w:r w:rsidR="001F6CD0" w:rsidRPr="00026D80">
        <w:rPr>
          <w:rFonts w:ascii="Times New Roman" w:hAnsi="Times New Roman" w:cs="Times New Roman"/>
          <w:sz w:val="28"/>
          <w:szCs w:val="28"/>
        </w:rPr>
        <w:t xml:space="preserve">reģionā izvietoto </w:t>
      </w:r>
      <w:r w:rsidR="00673EAA" w:rsidRPr="00026D80">
        <w:rPr>
          <w:rFonts w:ascii="Times New Roman" w:hAnsi="Times New Roman" w:cs="Times New Roman"/>
          <w:sz w:val="28"/>
          <w:szCs w:val="28"/>
        </w:rPr>
        <w:t xml:space="preserve">saimnieciskās darbības veidu </w:t>
      </w:r>
      <w:r w:rsidR="00774B71" w:rsidRPr="00026D80">
        <w:rPr>
          <w:rFonts w:ascii="Times New Roman" w:hAnsi="Times New Roman" w:cs="Times New Roman"/>
          <w:sz w:val="28"/>
          <w:szCs w:val="28"/>
        </w:rPr>
        <w:t>vienību</w:t>
      </w:r>
      <w:r w:rsidR="00201A20" w:rsidRPr="00026D80">
        <w:rPr>
          <w:rFonts w:ascii="Times New Roman" w:hAnsi="Times New Roman" w:cs="Times New Roman"/>
          <w:sz w:val="28"/>
          <w:szCs w:val="28"/>
        </w:rPr>
        <w:t xml:space="preserve"> (saskaņā ar NACE 2.red.)</w:t>
      </w:r>
      <w:r w:rsidR="00774B71" w:rsidRPr="00026D80">
        <w:rPr>
          <w:rFonts w:ascii="Times New Roman" w:hAnsi="Times New Roman" w:cs="Times New Roman"/>
          <w:sz w:val="28"/>
          <w:szCs w:val="28"/>
        </w:rPr>
        <w:t xml:space="preserve"> radītās </w:t>
      </w:r>
      <w:r w:rsidR="00673EAA" w:rsidRPr="00026D80">
        <w:rPr>
          <w:rFonts w:ascii="Times New Roman" w:hAnsi="Times New Roman" w:cs="Times New Roman"/>
          <w:sz w:val="28"/>
          <w:szCs w:val="28"/>
        </w:rPr>
        <w:t xml:space="preserve">pievienotās vērtības </w:t>
      </w:r>
      <w:r w:rsidR="0052219A" w:rsidRPr="00026D80">
        <w:rPr>
          <w:rFonts w:ascii="Times New Roman" w:hAnsi="Times New Roman" w:cs="Times New Roman"/>
          <w:sz w:val="28"/>
          <w:szCs w:val="28"/>
        </w:rPr>
        <w:t xml:space="preserve">(PV) </w:t>
      </w:r>
      <w:r w:rsidR="00673EAA" w:rsidRPr="00026D80">
        <w:rPr>
          <w:rFonts w:ascii="Times New Roman" w:hAnsi="Times New Roman" w:cs="Times New Roman"/>
          <w:sz w:val="28"/>
          <w:szCs w:val="28"/>
        </w:rPr>
        <w:t>un produktu nodokļu (atskaitot subsīdijas) summa.</w:t>
      </w:r>
      <w:r w:rsidR="00CF1071" w:rsidRPr="00026D80">
        <w:rPr>
          <w:rFonts w:ascii="Times New Roman" w:hAnsi="Times New Roman" w:cs="Times New Roman"/>
          <w:sz w:val="28"/>
          <w:szCs w:val="28"/>
        </w:rPr>
        <w:t xml:space="preserve"> </w:t>
      </w:r>
      <w:hyperlink r:id="rId9" w:history="1">
        <w:r w:rsidR="00CF1071" w:rsidRPr="00026D80">
          <w:rPr>
            <w:rFonts w:ascii="Times New Roman" w:eastAsia="Times New Roman" w:hAnsi="Times New Roman" w:cs="Times New Roman"/>
            <w:sz w:val="28"/>
            <w:szCs w:val="28"/>
            <w:lang w:eastAsia="lv-LV"/>
          </w:rPr>
          <w:t>Produktu nodokļi</w:t>
        </w:r>
      </w:hyperlink>
      <w:r w:rsidR="00CF1071" w:rsidRPr="00026D80">
        <w:rPr>
          <w:rFonts w:ascii="Times New Roman" w:eastAsia="Times New Roman" w:hAnsi="Times New Roman" w:cs="Times New Roman"/>
          <w:sz w:val="28"/>
          <w:szCs w:val="28"/>
          <w:lang w:eastAsia="lv-LV"/>
        </w:rPr>
        <w:t xml:space="preserve"> ir nodokļi, kas jāmaksā par katru saražotās preces vai pakalpojuma vienību, savukārt p</w:t>
      </w:r>
      <w:r w:rsidR="00CF1071" w:rsidRPr="00026D80">
        <w:rPr>
          <w:rFonts w:ascii="Times New Roman" w:hAnsi="Times New Roman" w:cs="Times New Roman"/>
          <w:sz w:val="28"/>
          <w:szCs w:val="28"/>
        </w:rPr>
        <w:t>roduktu subsīdijas ir subsīdijas, kuras maksā par vienu saražoto vai importēto preces vai pakalpojuma vienību.</w:t>
      </w:r>
    </w:p>
    <w:p w:rsidR="00100DAB" w:rsidRPr="00026D80" w:rsidRDefault="00673EAA" w:rsidP="00026D80">
      <w:pPr>
        <w:spacing w:before="100" w:beforeAutospacing="1" w:after="100" w:afterAutospacing="1" w:line="240" w:lineRule="auto"/>
        <w:ind w:firstLine="720"/>
        <w:jc w:val="both"/>
        <w:rPr>
          <w:rFonts w:ascii="Times New Roman" w:hAnsi="Times New Roman" w:cs="Times New Roman"/>
          <w:sz w:val="28"/>
          <w:szCs w:val="28"/>
        </w:rPr>
      </w:pPr>
      <w:r w:rsidRPr="00026D80">
        <w:rPr>
          <w:rFonts w:ascii="Times New Roman" w:hAnsi="Times New Roman" w:cs="Times New Roman"/>
          <w:sz w:val="28"/>
          <w:szCs w:val="28"/>
        </w:rPr>
        <w:t>Reģiona</w:t>
      </w:r>
      <w:r w:rsidR="00D2282B" w:rsidRPr="00026D80">
        <w:rPr>
          <w:rFonts w:ascii="Times New Roman" w:hAnsi="Times New Roman" w:cs="Times New Roman"/>
          <w:sz w:val="28"/>
          <w:szCs w:val="28"/>
        </w:rPr>
        <w:t xml:space="preserve"> vai republikas</w:t>
      </w:r>
      <w:r w:rsidRPr="00026D80">
        <w:rPr>
          <w:rFonts w:ascii="Times New Roman" w:hAnsi="Times New Roman" w:cs="Times New Roman"/>
          <w:sz w:val="28"/>
          <w:szCs w:val="28"/>
        </w:rPr>
        <w:t xml:space="preserve"> PV</w:t>
      </w:r>
      <w:r w:rsidR="001F6CD0" w:rsidRPr="00026D80">
        <w:rPr>
          <w:rFonts w:ascii="Times New Roman" w:hAnsi="Times New Roman" w:cs="Times New Roman"/>
          <w:sz w:val="28"/>
          <w:szCs w:val="28"/>
        </w:rPr>
        <w:t>, tādejādi,</w:t>
      </w:r>
      <w:r w:rsidRPr="00026D80">
        <w:rPr>
          <w:rFonts w:ascii="Times New Roman" w:hAnsi="Times New Roman" w:cs="Times New Roman"/>
          <w:sz w:val="28"/>
          <w:szCs w:val="28"/>
        </w:rPr>
        <w:t xml:space="preserve"> ir ražošanas un institucionālo vienību saimnieciskās darbības novērtējums reģionā</w:t>
      </w:r>
      <w:r w:rsidR="00D2282B" w:rsidRPr="00026D80">
        <w:rPr>
          <w:rFonts w:ascii="Times New Roman" w:hAnsi="Times New Roman" w:cs="Times New Roman"/>
          <w:sz w:val="28"/>
          <w:szCs w:val="28"/>
        </w:rPr>
        <w:t xml:space="preserve"> vai republikas pilsētā</w:t>
      </w:r>
      <w:r w:rsidR="001F6CD0" w:rsidRPr="00026D80">
        <w:rPr>
          <w:rFonts w:ascii="Times New Roman" w:hAnsi="Times New Roman" w:cs="Times New Roman"/>
          <w:sz w:val="28"/>
          <w:szCs w:val="28"/>
        </w:rPr>
        <w:t>, kas</w:t>
      </w:r>
      <w:r w:rsidRPr="00026D80">
        <w:rPr>
          <w:rFonts w:ascii="Times New Roman" w:hAnsi="Times New Roman" w:cs="Times New Roman"/>
          <w:sz w:val="28"/>
          <w:szCs w:val="28"/>
        </w:rPr>
        <w:t xml:space="preserve"> naudas izteiksmē tie</w:t>
      </w:r>
      <w:r w:rsidR="00D70ABB" w:rsidRPr="00026D80">
        <w:rPr>
          <w:rFonts w:ascii="Times New Roman" w:hAnsi="Times New Roman" w:cs="Times New Roman"/>
          <w:sz w:val="28"/>
          <w:szCs w:val="28"/>
        </w:rPr>
        <w:t>k</w:t>
      </w:r>
      <w:r w:rsidRPr="00026D80">
        <w:rPr>
          <w:rFonts w:ascii="Times New Roman" w:hAnsi="Times New Roman" w:cs="Times New Roman"/>
          <w:sz w:val="28"/>
          <w:szCs w:val="28"/>
        </w:rPr>
        <w:t xml:space="preserve"> aprēķināta kā starpība starp preču un pakalpojumu izlaidi un </w:t>
      </w:r>
      <w:r w:rsidR="00316BC0" w:rsidRPr="00026D80">
        <w:rPr>
          <w:rFonts w:ascii="Times New Roman" w:hAnsi="Times New Roman" w:cs="Times New Roman"/>
          <w:sz w:val="28"/>
          <w:szCs w:val="28"/>
        </w:rPr>
        <w:t>s</w:t>
      </w:r>
      <w:r w:rsidRPr="00026D80">
        <w:rPr>
          <w:rFonts w:ascii="Times New Roman" w:hAnsi="Times New Roman" w:cs="Times New Roman"/>
          <w:sz w:val="28"/>
          <w:szCs w:val="28"/>
        </w:rPr>
        <w:t>tarppatēriņu at</w:t>
      </w:r>
      <w:r w:rsidR="00726970" w:rsidRPr="00026D80">
        <w:rPr>
          <w:rFonts w:ascii="Times New Roman" w:hAnsi="Times New Roman" w:cs="Times New Roman"/>
          <w:sz w:val="28"/>
          <w:szCs w:val="28"/>
        </w:rPr>
        <w:t>bilstošā gada faktiskajās cenās.</w:t>
      </w:r>
      <w:r w:rsidR="00CF1071" w:rsidRPr="00026D80">
        <w:rPr>
          <w:rFonts w:ascii="Times New Roman" w:hAnsi="Times New Roman" w:cs="Times New Roman"/>
          <w:sz w:val="28"/>
          <w:szCs w:val="28"/>
        </w:rPr>
        <w:t xml:space="preserve"> Izlaide ir pārskata periodā radīto preču un pakalpojumu vērtība, savukārt starppatēriņš – preces un pakalpojumi, kas izmantoti ražošanas procesā.</w:t>
      </w:r>
    </w:p>
    <w:p w:rsidR="0029030E" w:rsidRPr="00026D80" w:rsidRDefault="0029030E" w:rsidP="00026D80">
      <w:pPr>
        <w:spacing w:line="240" w:lineRule="auto"/>
        <w:jc w:val="center"/>
        <w:rPr>
          <w:rFonts w:ascii="Times New Roman" w:hAnsi="Times New Roman" w:cs="Times New Roman"/>
          <w:b/>
          <w:sz w:val="28"/>
          <w:szCs w:val="28"/>
        </w:rPr>
      </w:pPr>
      <w:r w:rsidRPr="00026D80">
        <w:rPr>
          <w:rFonts w:ascii="Times New Roman" w:hAnsi="Times New Roman" w:cs="Times New Roman"/>
          <w:b/>
          <w:sz w:val="28"/>
          <w:szCs w:val="28"/>
        </w:rPr>
        <w:t xml:space="preserve">3.1. </w:t>
      </w:r>
      <w:r w:rsidRPr="00026D80">
        <w:rPr>
          <w:rFonts w:ascii="Times New Roman" w:hAnsi="Times New Roman" w:cs="Times New Roman"/>
          <w:b/>
          <w:color w:val="000000"/>
          <w:sz w:val="28"/>
          <w:szCs w:val="28"/>
        </w:rPr>
        <w:t>Eksperimentāls aprēķins, izmantojot esošus pieejamus datus</w:t>
      </w:r>
    </w:p>
    <w:p w:rsidR="00935820" w:rsidRPr="00026D80" w:rsidRDefault="005D5646" w:rsidP="00026D80">
      <w:pPr>
        <w:spacing w:before="100" w:beforeAutospacing="1" w:after="100" w:afterAutospacing="1" w:line="240" w:lineRule="auto"/>
        <w:ind w:firstLine="720"/>
        <w:jc w:val="both"/>
        <w:rPr>
          <w:rFonts w:ascii="Times New Roman" w:hAnsi="Times New Roman" w:cs="Times New Roman"/>
          <w:sz w:val="28"/>
          <w:szCs w:val="28"/>
        </w:rPr>
      </w:pPr>
      <w:r w:rsidRPr="00026D80">
        <w:rPr>
          <w:rFonts w:ascii="Times New Roman" w:hAnsi="Times New Roman" w:cs="Times New Roman"/>
          <w:sz w:val="28"/>
          <w:szCs w:val="28"/>
        </w:rPr>
        <w:t>Darba grupa vienojās</w:t>
      </w:r>
      <w:r w:rsidR="0029030E" w:rsidRPr="00026D80">
        <w:rPr>
          <w:rFonts w:ascii="Times New Roman" w:hAnsi="Times New Roman" w:cs="Times New Roman"/>
          <w:sz w:val="28"/>
          <w:szCs w:val="28"/>
        </w:rPr>
        <w:t xml:space="preserve"> vispirms</w:t>
      </w:r>
      <w:r w:rsidRPr="00026D80">
        <w:rPr>
          <w:rFonts w:ascii="Times New Roman" w:hAnsi="Times New Roman" w:cs="Times New Roman"/>
          <w:sz w:val="28"/>
          <w:szCs w:val="28"/>
        </w:rPr>
        <w:t xml:space="preserve"> veikt eksperimentālu</w:t>
      </w:r>
      <w:r w:rsidR="00B6514B" w:rsidRPr="00026D80">
        <w:rPr>
          <w:rFonts w:ascii="Times New Roman" w:hAnsi="Times New Roman" w:cs="Times New Roman"/>
          <w:sz w:val="28"/>
          <w:szCs w:val="28"/>
        </w:rPr>
        <w:t>, uz matemātiskām metodēm balstītu</w:t>
      </w:r>
      <w:r w:rsidRPr="00026D80">
        <w:rPr>
          <w:rFonts w:ascii="Times New Roman" w:hAnsi="Times New Roman" w:cs="Times New Roman"/>
          <w:sz w:val="28"/>
          <w:szCs w:val="28"/>
        </w:rPr>
        <w:t xml:space="preserve"> aprēķinu</w:t>
      </w:r>
      <w:r w:rsidR="00935820" w:rsidRPr="00026D80">
        <w:rPr>
          <w:rFonts w:ascii="Times New Roman" w:hAnsi="Times New Roman" w:cs="Times New Roman"/>
          <w:sz w:val="28"/>
          <w:szCs w:val="28"/>
        </w:rPr>
        <w:t xml:space="preserve"> pa republikas pilsētām, izmantojot</w:t>
      </w:r>
      <w:r w:rsidR="00F80635" w:rsidRPr="00026D80">
        <w:rPr>
          <w:rFonts w:ascii="Times New Roman" w:hAnsi="Times New Roman" w:cs="Times New Roman"/>
          <w:sz w:val="28"/>
          <w:szCs w:val="28"/>
        </w:rPr>
        <w:t xml:space="preserve"> reģionālā IKP novērtēšanas metodoloģiju un</w:t>
      </w:r>
      <w:r w:rsidR="00935820" w:rsidRPr="00026D80">
        <w:rPr>
          <w:rFonts w:ascii="Times New Roman" w:hAnsi="Times New Roman" w:cs="Times New Roman"/>
          <w:sz w:val="28"/>
          <w:szCs w:val="28"/>
        </w:rPr>
        <w:t xml:space="preserve"> </w:t>
      </w:r>
      <w:r w:rsidR="00735F09" w:rsidRPr="00026D80">
        <w:rPr>
          <w:rFonts w:ascii="Times New Roman" w:hAnsi="Times New Roman" w:cs="Times New Roman"/>
          <w:sz w:val="28"/>
          <w:szCs w:val="28"/>
        </w:rPr>
        <w:t xml:space="preserve">jau </w:t>
      </w:r>
      <w:r w:rsidR="00935820" w:rsidRPr="00026D80">
        <w:rPr>
          <w:rFonts w:ascii="Times New Roman" w:hAnsi="Times New Roman" w:cs="Times New Roman"/>
          <w:sz w:val="28"/>
          <w:szCs w:val="28"/>
        </w:rPr>
        <w:t>esoš</w:t>
      </w:r>
      <w:r w:rsidR="008E2853" w:rsidRPr="00026D80">
        <w:rPr>
          <w:rFonts w:ascii="Times New Roman" w:hAnsi="Times New Roman" w:cs="Times New Roman"/>
          <w:sz w:val="28"/>
          <w:szCs w:val="28"/>
        </w:rPr>
        <w:t>u</w:t>
      </w:r>
      <w:r w:rsidR="00F80635" w:rsidRPr="00026D80">
        <w:rPr>
          <w:rFonts w:ascii="Times New Roman" w:hAnsi="Times New Roman" w:cs="Times New Roman"/>
          <w:sz w:val="28"/>
          <w:szCs w:val="28"/>
        </w:rPr>
        <w:t>s datus,</w:t>
      </w:r>
      <w:r w:rsidR="008D29D8" w:rsidRPr="00026D80">
        <w:rPr>
          <w:rFonts w:ascii="Times New Roman" w:hAnsi="Times New Roman" w:cs="Times New Roman"/>
          <w:sz w:val="28"/>
          <w:szCs w:val="28"/>
        </w:rPr>
        <w:t xml:space="preserve"> tādejādi izvērtējot iespēju aprēķināt minētos rādītājus,</w:t>
      </w:r>
      <w:r w:rsidR="00935820" w:rsidRPr="00026D80">
        <w:rPr>
          <w:rFonts w:ascii="Times New Roman" w:hAnsi="Times New Roman" w:cs="Times New Roman"/>
          <w:sz w:val="28"/>
          <w:szCs w:val="28"/>
        </w:rPr>
        <w:t xml:space="preserve"> nepalielinot datu sniedzēju slogu. </w:t>
      </w:r>
      <w:r w:rsidR="00F16784" w:rsidRPr="00026D80">
        <w:rPr>
          <w:rFonts w:ascii="Times New Roman" w:hAnsi="Times New Roman" w:cs="Times New Roman"/>
          <w:sz w:val="28"/>
          <w:szCs w:val="28"/>
        </w:rPr>
        <w:t xml:space="preserve">Šajā eksperimentālajā aprēķinā tika </w:t>
      </w:r>
      <w:r w:rsidR="00935820" w:rsidRPr="00026D80">
        <w:rPr>
          <w:rFonts w:ascii="Times New Roman" w:hAnsi="Times New Roman" w:cs="Times New Roman"/>
          <w:sz w:val="28"/>
          <w:szCs w:val="28"/>
        </w:rPr>
        <w:t>izmanto</w:t>
      </w:r>
      <w:r w:rsidR="00F16784" w:rsidRPr="00026D80">
        <w:rPr>
          <w:rFonts w:ascii="Times New Roman" w:hAnsi="Times New Roman" w:cs="Times New Roman"/>
          <w:sz w:val="28"/>
          <w:szCs w:val="28"/>
        </w:rPr>
        <w:t>ti</w:t>
      </w:r>
      <w:r w:rsidR="00935820" w:rsidRPr="00026D80">
        <w:rPr>
          <w:rFonts w:ascii="Times New Roman" w:hAnsi="Times New Roman" w:cs="Times New Roman"/>
          <w:sz w:val="28"/>
          <w:szCs w:val="28"/>
        </w:rPr>
        <w:t xml:space="preserve"> dati, kuru </w:t>
      </w:r>
      <w:r w:rsidR="00F16784" w:rsidRPr="00026D80">
        <w:rPr>
          <w:rFonts w:ascii="Times New Roman" w:hAnsi="Times New Roman" w:cs="Times New Roman"/>
          <w:sz w:val="28"/>
          <w:szCs w:val="28"/>
        </w:rPr>
        <w:t>galvenais</w:t>
      </w:r>
      <w:r w:rsidR="00935820" w:rsidRPr="00026D80">
        <w:rPr>
          <w:rFonts w:ascii="Times New Roman" w:hAnsi="Times New Roman" w:cs="Times New Roman"/>
          <w:sz w:val="28"/>
          <w:szCs w:val="28"/>
        </w:rPr>
        <w:t xml:space="preserve"> savākšanas mērķi</w:t>
      </w:r>
      <w:r w:rsidR="00F16784" w:rsidRPr="00026D80">
        <w:rPr>
          <w:rFonts w:ascii="Times New Roman" w:hAnsi="Times New Roman" w:cs="Times New Roman"/>
          <w:sz w:val="28"/>
          <w:szCs w:val="28"/>
        </w:rPr>
        <w:t>s bija PV un IKP aprēķini</w:t>
      </w:r>
      <w:r w:rsidR="00935820" w:rsidRPr="00026D80">
        <w:rPr>
          <w:rFonts w:ascii="Times New Roman" w:hAnsi="Times New Roman" w:cs="Times New Roman"/>
          <w:sz w:val="28"/>
          <w:szCs w:val="28"/>
        </w:rPr>
        <w:t xml:space="preserve"> reģionu</w:t>
      </w:r>
      <w:r w:rsidR="0029030E" w:rsidRPr="00026D80">
        <w:rPr>
          <w:rFonts w:ascii="Times New Roman" w:hAnsi="Times New Roman" w:cs="Times New Roman"/>
          <w:sz w:val="28"/>
          <w:szCs w:val="28"/>
        </w:rPr>
        <w:t>,</w:t>
      </w:r>
      <w:r w:rsidR="00935820" w:rsidRPr="00026D80">
        <w:rPr>
          <w:rFonts w:ascii="Times New Roman" w:hAnsi="Times New Roman" w:cs="Times New Roman"/>
          <w:sz w:val="28"/>
          <w:szCs w:val="28"/>
        </w:rPr>
        <w:t xml:space="preserve"> nevis republikas pilsētu </w:t>
      </w:r>
      <w:r w:rsidR="008E2853" w:rsidRPr="00026D80">
        <w:rPr>
          <w:rFonts w:ascii="Times New Roman" w:hAnsi="Times New Roman" w:cs="Times New Roman"/>
          <w:sz w:val="28"/>
          <w:szCs w:val="28"/>
        </w:rPr>
        <w:t>līmenī.</w:t>
      </w:r>
    </w:p>
    <w:p w:rsidR="00FB1C6B" w:rsidRPr="00026D80" w:rsidRDefault="008A7634" w:rsidP="00026D80">
      <w:pPr>
        <w:spacing w:before="100" w:beforeAutospacing="1" w:after="100" w:afterAutospacing="1" w:line="240" w:lineRule="auto"/>
        <w:ind w:firstLine="720"/>
        <w:jc w:val="both"/>
        <w:rPr>
          <w:rFonts w:ascii="Times New Roman" w:hAnsi="Times New Roman" w:cs="Times New Roman"/>
          <w:sz w:val="28"/>
          <w:szCs w:val="28"/>
        </w:rPr>
      </w:pPr>
      <w:r w:rsidRPr="00026D80">
        <w:rPr>
          <w:rFonts w:ascii="Times New Roman" w:hAnsi="Times New Roman" w:cs="Times New Roman"/>
          <w:sz w:val="28"/>
          <w:szCs w:val="28"/>
        </w:rPr>
        <w:t>Pārvaldē</w:t>
      </w:r>
      <w:r w:rsidR="00433500" w:rsidRPr="00026D80">
        <w:rPr>
          <w:rFonts w:ascii="Times New Roman" w:hAnsi="Times New Roman" w:cs="Times New Roman"/>
          <w:sz w:val="28"/>
          <w:szCs w:val="28"/>
        </w:rPr>
        <w:t xml:space="preserve"> veiktā eksperimentālā aprēķina rezultātus skat. 1.tabulā.</w:t>
      </w:r>
      <w:r w:rsidR="00574CD0" w:rsidRPr="00026D80">
        <w:rPr>
          <w:rFonts w:ascii="Times New Roman" w:hAnsi="Times New Roman" w:cs="Times New Roman"/>
          <w:sz w:val="28"/>
          <w:szCs w:val="28"/>
        </w:rPr>
        <w:t xml:space="preserve"> Eksperimentālais aprēķins tika veikts par 2011. un 2012.gadu,</w:t>
      </w:r>
      <w:r w:rsidR="00F7653C" w:rsidRPr="00026D80">
        <w:rPr>
          <w:rFonts w:ascii="Times New Roman" w:hAnsi="Times New Roman" w:cs="Times New Roman"/>
          <w:sz w:val="28"/>
          <w:szCs w:val="28"/>
        </w:rPr>
        <w:t xml:space="preserve"> lai būtu iespējams salīdzināt rezultātus par vairākiem periodiem.</w:t>
      </w:r>
      <w:r w:rsidR="00574CD0" w:rsidRPr="00026D80">
        <w:rPr>
          <w:rFonts w:ascii="Times New Roman" w:hAnsi="Times New Roman" w:cs="Times New Roman"/>
          <w:sz w:val="28"/>
          <w:szCs w:val="28"/>
        </w:rPr>
        <w:t xml:space="preserve"> </w:t>
      </w:r>
      <w:r w:rsidR="00F7653C" w:rsidRPr="00026D80">
        <w:rPr>
          <w:rFonts w:ascii="Times New Roman" w:hAnsi="Times New Roman" w:cs="Times New Roman"/>
          <w:sz w:val="28"/>
          <w:szCs w:val="28"/>
        </w:rPr>
        <w:t>Jaunāku periodu datu bāzes uz aprēķinu veikšanas laiku vēl nebija pieejamas.</w:t>
      </w:r>
    </w:p>
    <w:p w:rsidR="003F172D" w:rsidRPr="00026D80" w:rsidRDefault="003F172D" w:rsidP="00A47200">
      <w:pPr>
        <w:spacing w:before="100" w:beforeAutospacing="1" w:after="0" w:line="288" w:lineRule="auto"/>
        <w:rPr>
          <w:rFonts w:ascii="Times New Roman" w:hAnsi="Times New Roman" w:cs="Times New Roman"/>
          <w:sz w:val="28"/>
          <w:szCs w:val="28"/>
        </w:rPr>
      </w:pPr>
      <w:r w:rsidRPr="00026D80">
        <w:rPr>
          <w:rFonts w:ascii="Times New Roman" w:hAnsi="Times New Roman" w:cs="Times New Roman"/>
          <w:sz w:val="28"/>
          <w:szCs w:val="28"/>
        </w:rPr>
        <w:t>1.tabula. PV un</w:t>
      </w:r>
      <w:r w:rsidR="00BF40EE" w:rsidRPr="00026D80">
        <w:rPr>
          <w:rFonts w:ascii="Times New Roman" w:hAnsi="Times New Roman" w:cs="Times New Roman"/>
          <w:sz w:val="28"/>
          <w:szCs w:val="28"/>
        </w:rPr>
        <w:t xml:space="preserve"> IKP</w:t>
      </w:r>
      <w:r w:rsidR="00EA2966" w:rsidRPr="00026D80">
        <w:rPr>
          <w:rFonts w:ascii="Times New Roman" w:hAnsi="Times New Roman" w:cs="Times New Roman"/>
          <w:sz w:val="28"/>
          <w:szCs w:val="28"/>
        </w:rPr>
        <w:t xml:space="preserve"> un to </w:t>
      </w:r>
      <w:r w:rsidRPr="00026D80">
        <w:rPr>
          <w:rFonts w:ascii="Times New Roman" w:hAnsi="Times New Roman" w:cs="Times New Roman"/>
          <w:sz w:val="28"/>
          <w:szCs w:val="28"/>
        </w:rPr>
        <w:t>īpatsvars republikas pilsētās 2011. un 2012.gadā.</w:t>
      </w:r>
    </w:p>
    <w:tbl>
      <w:tblPr>
        <w:tblStyle w:val="TableGrid"/>
        <w:tblW w:w="0" w:type="auto"/>
        <w:tblInd w:w="0" w:type="dxa"/>
        <w:tblLook w:val="04A0" w:firstRow="1" w:lastRow="0" w:firstColumn="1" w:lastColumn="0" w:noHBand="0" w:noVBand="1"/>
      </w:tblPr>
      <w:tblGrid>
        <w:gridCol w:w="1492"/>
        <w:gridCol w:w="1251"/>
        <w:gridCol w:w="1244"/>
        <w:gridCol w:w="1375"/>
        <w:gridCol w:w="1291"/>
        <w:gridCol w:w="1244"/>
        <w:gridCol w:w="1390"/>
      </w:tblGrid>
      <w:tr w:rsidR="003F172D" w:rsidRPr="008E2853" w:rsidTr="00026D80">
        <w:tc>
          <w:tcPr>
            <w:tcW w:w="1492" w:type="dxa"/>
          </w:tcPr>
          <w:p w:rsidR="003F172D" w:rsidRPr="00026D80" w:rsidRDefault="003F172D" w:rsidP="00A43034">
            <w:pPr>
              <w:spacing w:before="100" w:beforeAutospacing="1" w:after="100" w:afterAutospacing="1" w:line="288" w:lineRule="auto"/>
              <w:jc w:val="both"/>
              <w:rPr>
                <w:rFonts w:ascii="Times New Roman" w:hAnsi="Times New Roman" w:cs="Times New Roman"/>
                <w:b/>
                <w:sz w:val="28"/>
                <w:szCs w:val="28"/>
              </w:rPr>
            </w:pPr>
          </w:p>
        </w:tc>
        <w:tc>
          <w:tcPr>
            <w:tcW w:w="3870" w:type="dxa"/>
            <w:gridSpan w:val="3"/>
          </w:tcPr>
          <w:p w:rsidR="003F172D" w:rsidRPr="00026D80" w:rsidRDefault="003F172D" w:rsidP="00A43034">
            <w:pPr>
              <w:spacing w:before="100" w:beforeAutospacing="1" w:after="100" w:afterAutospacing="1" w:line="288" w:lineRule="auto"/>
              <w:jc w:val="center"/>
              <w:rPr>
                <w:rFonts w:ascii="Times New Roman" w:hAnsi="Times New Roman" w:cs="Times New Roman"/>
                <w:b/>
                <w:sz w:val="28"/>
                <w:szCs w:val="28"/>
              </w:rPr>
            </w:pPr>
            <w:r w:rsidRPr="00026D80">
              <w:rPr>
                <w:rFonts w:ascii="Times New Roman" w:hAnsi="Times New Roman" w:cs="Times New Roman"/>
                <w:sz w:val="28"/>
                <w:szCs w:val="28"/>
              </w:rPr>
              <w:t>2011</w:t>
            </w:r>
          </w:p>
        </w:tc>
        <w:tc>
          <w:tcPr>
            <w:tcW w:w="3925" w:type="dxa"/>
            <w:gridSpan w:val="3"/>
          </w:tcPr>
          <w:p w:rsidR="003F172D" w:rsidRPr="00026D80" w:rsidRDefault="003F172D" w:rsidP="00A43034">
            <w:pPr>
              <w:spacing w:before="100" w:beforeAutospacing="1" w:after="100" w:afterAutospacing="1" w:line="288" w:lineRule="auto"/>
              <w:jc w:val="center"/>
              <w:rPr>
                <w:rFonts w:ascii="Times New Roman" w:hAnsi="Times New Roman" w:cs="Times New Roman"/>
                <w:b/>
                <w:sz w:val="28"/>
                <w:szCs w:val="28"/>
              </w:rPr>
            </w:pPr>
            <w:r w:rsidRPr="00026D80">
              <w:rPr>
                <w:rFonts w:ascii="Times New Roman" w:hAnsi="Times New Roman" w:cs="Times New Roman"/>
                <w:sz w:val="28"/>
                <w:szCs w:val="28"/>
              </w:rPr>
              <w:t>2012</w:t>
            </w:r>
          </w:p>
        </w:tc>
      </w:tr>
      <w:tr w:rsidR="003F172D" w:rsidRPr="008E2853" w:rsidTr="00026D80">
        <w:tc>
          <w:tcPr>
            <w:tcW w:w="1492" w:type="dxa"/>
          </w:tcPr>
          <w:p w:rsidR="003F172D" w:rsidRPr="00026D80" w:rsidRDefault="008E2853" w:rsidP="00A43034">
            <w:pPr>
              <w:spacing w:before="100" w:beforeAutospacing="1" w:after="100" w:afterAutospacing="1" w:line="288" w:lineRule="auto"/>
              <w:jc w:val="both"/>
              <w:rPr>
                <w:rFonts w:ascii="Times New Roman" w:hAnsi="Times New Roman" w:cs="Times New Roman"/>
                <w:b/>
                <w:sz w:val="28"/>
                <w:szCs w:val="28"/>
              </w:rPr>
            </w:pPr>
            <w:r w:rsidRPr="00026D80">
              <w:rPr>
                <w:rFonts w:ascii="Times New Roman" w:hAnsi="Times New Roman" w:cs="Times New Roman"/>
                <w:sz w:val="28"/>
                <w:szCs w:val="28"/>
              </w:rPr>
              <w:t>Teritorija</w:t>
            </w:r>
          </w:p>
        </w:tc>
        <w:tc>
          <w:tcPr>
            <w:tcW w:w="1251" w:type="dxa"/>
          </w:tcPr>
          <w:p w:rsidR="003F172D" w:rsidRPr="00026D80" w:rsidRDefault="003F172D" w:rsidP="00A43034">
            <w:pPr>
              <w:spacing w:before="100" w:beforeAutospacing="1" w:after="100" w:afterAutospacing="1" w:line="288" w:lineRule="auto"/>
              <w:jc w:val="center"/>
              <w:rPr>
                <w:rFonts w:ascii="Times New Roman" w:hAnsi="Times New Roman" w:cs="Times New Roman"/>
                <w:b/>
                <w:sz w:val="28"/>
                <w:szCs w:val="28"/>
              </w:rPr>
            </w:pPr>
            <w:r w:rsidRPr="00026D80">
              <w:rPr>
                <w:rFonts w:ascii="Times New Roman" w:hAnsi="Times New Roman" w:cs="Times New Roman"/>
                <w:b/>
                <w:sz w:val="28"/>
                <w:szCs w:val="28"/>
              </w:rPr>
              <w:t xml:space="preserve">PV, tūkst. </w:t>
            </w:r>
            <w:proofErr w:type="spellStart"/>
            <w:r w:rsidRPr="00026D80">
              <w:rPr>
                <w:rFonts w:ascii="Times New Roman" w:hAnsi="Times New Roman" w:cs="Times New Roman"/>
                <w:b/>
                <w:sz w:val="28"/>
                <w:szCs w:val="28"/>
              </w:rPr>
              <w:t>euro</w:t>
            </w:r>
            <w:proofErr w:type="spellEnd"/>
          </w:p>
        </w:tc>
        <w:tc>
          <w:tcPr>
            <w:tcW w:w="1244" w:type="dxa"/>
          </w:tcPr>
          <w:p w:rsidR="003F172D" w:rsidRPr="00026D80" w:rsidRDefault="003F172D" w:rsidP="00A43034">
            <w:pPr>
              <w:spacing w:before="100" w:beforeAutospacing="1" w:after="100" w:afterAutospacing="1" w:line="288" w:lineRule="auto"/>
              <w:jc w:val="center"/>
              <w:rPr>
                <w:rFonts w:ascii="Times New Roman" w:hAnsi="Times New Roman" w:cs="Times New Roman"/>
                <w:b/>
                <w:sz w:val="28"/>
                <w:szCs w:val="28"/>
              </w:rPr>
            </w:pPr>
            <w:r w:rsidRPr="00026D80">
              <w:rPr>
                <w:rFonts w:ascii="Times New Roman" w:hAnsi="Times New Roman" w:cs="Times New Roman"/>
                <w:b/>
                <w:sz w:val="28"/>
                <w:szCs w:val="28"/>
              </w:rPr>
              <w:t xml:space="preserve">IKP, tūkst. </w:t>
            </w:r>
            <w:proofErr w:type="spellStart"/>
            <w:r w:rsidRPr="00026D80">
              <w:rPr>
                <w:rFonts w:ascii="Times New Roman" w:hAnsi="Times New Roman" w:cs="Times New Roman"/>
                <w:b/>
                <w:sz w:val="28"/>
                <w:szCs w:val="28"/>
              </w:rPr>
              <w:t>euro</w:t>
            </w:r>
            <w:proofErr w:type="spellEnd"/>
          </w:p>
        </w:tc>
        <w:tc>
          <w:tcPr>
            <w:tcW w:w="1375" w:type="dxa"/>
          </w:tcPr>
          <w:p w:rsidR="003F172D" w:rsidRPr="00026D80" w:rsidRDefault="003F172D" w:rsidP="00A43034">
            <w:pPr>
              <w:spacing w:before="100" w:beforeAutospacing="1" w:after="100" w:afterAutospacing="1" w:line="288" w:lineRule="auto"/>
              <w:jc w:val="center"/>
              <w:rPr>
                <w:rFonts w:ascii="Times New Roman" w:hAnsi="Times New Roman" w:cs="Times New Roman"/>
                <w:b/>
                <w:sz w:val="28"/>
                <w:szCs w:val="28"/>
              </w:rPr>
            </w:pPr>
            <w:r w:rsidRPr="00026D80">
              <w:rPr>
                <w:rFonts w:ascii="Times New Roman" w:hAnsi="Times New Roman" w:cs="Times New Roman"/>
                <w:b/>
                <w:sz w:val="28"/>
                <w:szCs w:val="28"/>
              </w:rPr>
              <w:t>īpatsvars, %</w:t>
            </w:r>
          </w:p>
        </w:tc>
        <w:tc>
          <w:tcPr>
            <w:tcW w:w="1291" w:type="dxa"/>
          </w:tcPr>
          <w:p w:rsidR="003F172D" w:rsidRPr="00026D80" w:rsidRDefault="003F172D" w:rsidP="00A43034">
            <w:pPr>
              <w:spacing w:before="100" w:beforeAutospacing="1" w:after="100" w:afterAutospacing="1" w:line="288" w:lineRule="auto"/>
              <w:rPr>
                <w:rFonts w:ascii="Times New Roman" w:hAnsi="Times New Roman" w:cs="Times New Roman"/>
                <w:b/>
                <w:sz w:val="28"/>
                <w:szCs w:val="28"/>
              </w:rPr>
            </w:pPr>
            <w:r w:rsidRPr="00026D80">
              <w:rPr>
                <w:rFonts w:ascii="Times New Roman" w:hAnsi="Times New Roman" w:cs="Times New Roman"/>
                <w:b/>
                <w:sz w:val="28"/>
                <w:szCs w:val="28"/>
              </w:rPr>
              <w:t xml:space="preserve">PV, tūkst. </w:t>
            </w:r>
            <w:proofErr w:type="spellStart"/>
            <w:r w:rsidRPr="00026D80">
              <w:rPr>
                <w:rFonts w:ascii="Times New Roman" w:hAnsi="Times New Roman" w:cs="Times New Roman"/>
                <w:b/>
                <w:sz w:val="28"/>
                <w:szCs w:val="28"/>
              </w:rPr>
              <w:t>euro</w:t>
            </w:r>
            <w:proofErr w:type="spellEnd"/>
          </w:p>
        </w:tc>
        <w:tc>
          <w:tcPr>
            <w:tcW w:w="1244" w:type="dxa"/>
          </w:tcPr>
          <w:p w:rsidR="003F172D" w:rsidRPr="00026D80" w:rsidRDefault="003F172D" w:rsidP="00A43034">
            <w:pPr>
              <w:spacing w:before="100" w:beforeAutospacing="1" w:after="100" w:afterAutospacing="1" w:line="288" w:lineRule="auto"/>
              <w:jc w:val="center"/>
              <w:rPr>
                <w:rFonts w:ascii="Times New Roman" w:hAnsi="Times New Roman" w:cs="Times New Roman"/>
                <w:b/>
                <w:sz w:val="28"/>
                <w:szCs w:val="28"/>
              </w:rPr>
            </w:pPr>
            <w:r w:rsidRPr="00026D80">
              <w:rPr>
                <w:rFonts w:ascii="Times New Roman" w:hAnsi="Times New Roman" w:cs="Times New Roman"/>
                <w:b/>
                <w:sz w:val="28"/>
                <w:szCs w:val="28"/>
              </w:rPr>
              <w:t xml:space="preserve">IKP, tūkst. </w:t>
            </w:r>
            <w:proofErr w:type="spellStart"/>
            <w:r w:rsidRPr="00026D80">
              <w:rPr>
                <w:rFonts w:ascii="Times New Roman" w:hAnsi="Times New Roman" w:cs="Times New Roman"/>
                <w:b/>
                <w:sz w:val="28"/>
                <w:szCs w:val="28"/>
              </w:rPr>
              <w:t>euro</w:t>
            </w:r>
            <w:proofErr w:type="spellEnd"/>
          </w:p>
        </w:tc>
        <w:tc>
          <w:tcPr>
            <w:tcW w:w="1390" w:type="dxa"/>
          </w:tcPr>
          <w:p w:rsidR="003F172D" w:rsidRPr="00026D80" w:rsidRDefault="003F172D" w:rsidP="00A43034">
            <w:pPr>
              <w:spacing w:before="100" w:beforeAutospacing="1" w:after="100" w:afterAutospacing="1" w:line="288" w:lineRule="auto"/>
              <w:jc w:val="both"/>
              <w:rPr>
                <w:rFonts w:ascii="Times New Roman" w:hAnsi="Times New Roman" w:cs="Times New Roman"/>
                <w:b/>
                <w:sz w:val="28"/>
                <w:szCs w:val="28"/>
              </w:rPr>
            </w:pPr>
            <w:r w:rsidRPr="00026D80">
              <w:rPr>
                <w:rFonts w:ascii="Times New Roman" w:hAnsi="Times New Roman" w:cs="Times New Roman"/>
                <w:b/>
                <w:sz w:val="28"/>
                <w:szCs w:val="28"/>
              </w:rPr>
              <w:t>īpatsvars, %</w:t>
            </w:r>
          </w:p>
        </w:tc>
      </w:tr>
      <w:tr w:rsidR="003F172D" w:rsidRPr="008E2853" w:rsidTr="00026D80">
        <w:tc>
          <w:tcPr>
            <w:tcW w:w="1492" w:type="dxa"/>
          </w:tcPr>
          <w:p w:rsidR="003F172D" w:rsidRPr="00026D80" w:rsidRDefault="003F172D" w:rsidP="00A43034">
            <w:pPr>
              <w:spacing w:before="100" w:beforeAutospacing="1" w:after="100" w:afterAutospacing="1" w:line="288" w:lineRule="auto"/>
              <w:jc w:val="both"/>
              <w:rPr>
                <w:rFonts w:ascii="Times New Roman" w:hAnsi="Times New Roman" w:cs="Times New Roman"/>
                <w:b/>
                <w:sz w:val="28"/>
                <w:szCs w:val="28"/>
              </w:rPr>
            </w:pPr>
            <w:r w:rsidRPr="00026D80">
              <w:rPr>
                <w:rFonts w:ascii="Times New Roman" w:hAnsi="Times New Roman" w:cs="Times New Roman"/>
                <w:sz w:val="28"/>
                <w:szCs w:val="28"/>
              </w:rPr>
              <w:t>Latvija</w:t>
            </w:r>
          </w:p>
        </w:tc>
        <w:tc>
          <w:tcPr>
            <w:tcW w:w="1251" w:type="dxa"/>
          </w:tcPr>
          <w:p w:rsidR="003F172D" w:rsidRPr="00026D80" w:rsidRDefault="003F172D" w:rsidP="00A43034">
            <w:pPr>
              <w:spacing w:before="100" w:beforeAutospacing="1" w:after="100" w:afterAutospacing="1" w:line="288" w:lineRule="auto"/>
              <w:jc w:val="right"/>
              <w:rPr>
                <w:rFonts w:ascii="Times New Roman" w:hAnsi="Times New Roman" w:cs="Times New Roman"/>
                <w:b/>
                <w:sz w:val="28"/>
                <w:szCs w:val="28"/>
              </w:rPr>
            </w:pPr>
            <w:r w:rsidRPr="00026D80">
              <w:rPr>
                <w:rFonts w:ascii="Times New Roman" w:hAnsi="Times New Roman" w:cs="Times New Roman"/>
                <w:b/>
                <w:sz w:val="28"/>
                <w:szCs w:val="28"/>
              </w:rPr>
              <w:t xml:space="preserve">17 793 585 </w:t>
            </w:r>
          </w:p>
        </w:tc>
        <w:tc>
          <w:tcPr>
            <w:tcW w:w="1244" w:type="dxa"/>
          </w:tcPr>
          <w:p w:rsidR="003F172D" w:rsidRPr="00026D80" w:rsidRDefault="003F172D" w:rsidP="00A43034">
            <w:pPr>
              <w:jc w:val="right"/>
              <w:rPr>
                <w:rFonts w:ascii="Times New Roman" w:hAnsi="Times New Roman" w:cs="Times New Roman"/>
                <w:b/>
                <w:sz w:val="28"/>
                <w:szCs w:val="28"/>
              </w:rPr>
            </w:pPr>
            <w:r w:rsidRPr="00026D80">
              <w:rPr>
                <w:rFonts w:ascii="Times New Roman" w:hAnsi="Times New Roman" w:cs="Times New Roman"/>
                <w:b/>
                <w:sz w:val="28"/>
                <w:szCs w:val="28"/>
              </w:rPr>
              <w:t>20 297 418</w:t>
            </w:r>
          </w:p>
        </w:tc>
        <w:tc>
          <w:tcPr>
            <w:tcW w:w="1375" w:type="dxa"/>
          </w:tcPr>
          <w:p w:rsidR="003F172D" w:rsidRPr="00026D80" w:rsidRDefault="003F172D" w:rsidP="00A43034">
            <w:pPr>
              <w:spacing w:before="100" w:beforeAutospacing="1" w:after="100" w:afterAutospacing="1" w:line="288" w:lineRule="auto"/>
              <w:jc w:val="right"/>
              <w:rPr>
                <w:rFonts w:ascii="Times New Roman" w:hAnsi="Times New Roman" w:cs="Times New Roman"/>
                <w:b/>
                <w:sz w:val="28"/>
                <w:szCs w:val="28"/>
              </w:rPr>
            </w:pPr>
            <w:r w:rsidRPr="00026D80">
              <w:rPr>
                <w:rFonts w:ascii="Times New Roman" w:hAnsi="Times New Roman" w:cs="Times New Roman"/>
                <w:b/>
                <w:bCs/>
                <w:sz w:val="28"/>
                <w:szCs w:val="28"/>
              </w:rPr>
              <w:t>100</w:t>
            </w:r>
          </w:p>
        </w:tc>
        <w:tc>
          <w:tcPr>
            <w:tcW w:w="1291" w:type="dxa"/>
          </w:tcPr>
          <w:p w:rsidR="003F172D" w:rsidRPr="00026D80" w:rsidRDefault="003F172D" w:rsidP="00A43034">
            <w:pPr>
              <w:spacing w:before="100" w:beforeAutospacing="1" w:after="100" w:afterAutospacing="1" w:line="288" w:lineRule="auto"/>
              <w:jc w:val="right"/>
              <w:rPr>
                <w:rFonts w:ascii="Times New Roman" w:hAnsi="Times New Roman" w:cs="Times New Roman"/>
                <w:b/>
                <w:sz w:val="28"/>
                <w:szCs w:val="28"/>
              </w:rPr>
            </w:pPr>
            <w:r w:rsidRPr="00026D80">
              <w:rPr>
                <w:rFonts w:ascii="Times New Roman" w:hAnsi="Times New Roman" w:cs="Times New Roman"/>
                <w:b/>
                <w:sz w:val="28"/>
                <w:szCs w:val="28"/>
              </w:rPr>
              <w:t xml:space="preserve">19 236 456 </w:t>
            </w:r>
          </w:p>
        </w:tc>
        <w:tc>
          <w:tcPr>
            <w:tcW w:w="1244" w:type="dxa"/>
          </w:tcPr>
          <w:p w:rsidR="003F172D" w:rsidRPr="00026D80" w:rsidRDefault="003F172D" w:rsidP="00A43034">
            <w:pPr>
              <w:jc w:val="right"/>
              <w:rPr>
                <w:rFonts w:ascii="Times New Roman" w:hAnsi="Times New Roman" w:cs="Times New Roman"/>
                <w:b/>
                <w:sz w:val="28"/>
                <w:szCs w:val="28"/>
              </w:rPr>
            </w:pPr>
            <w:r w:rsidRPr="00026D80">
              <w:rPr>
                <w:rFonts w:ascii="Times New Roman" w:hAnsi="Times New Roman" w:cs="Times New Roman"/>
                <w:b/>
                <w:sz w:val="28"/>
                <w:szCs w:val="28"/>
              </w:rPr>
              <w:t>22 042 985</w:t>
            </w:r>
          </w:p>
        </w:tc>
        <w:tc>
          <w:tcPr>
            <w:tcW w:w="1390" w:type="dxa"/>
          </w:tcPr>
          <w:p w:rsidR="003F172D" w:rsidRPr="00026D80" w:rsidRDefault="003F172D" w:rsidP="00A43034">
            <w:pPr>
              <w:spacing w:before="100" w:beforeAutospacing="1" w:after="100" w:afterAutospacing="1" w:line="288" w:lineRule="auto"/>
              <w:jc w:val="right"/>
              <w:rPr>
                <w:rFonts w:ascii="Times New Roman" w:hAnsi="Times New Roman" w:cs="Times New Roman"/>
                <w:b/>
                <w:sz w:val="28"/>
                <w:szCs w:val="28"/>
              </w:rPr>
            </w:pPr>
            <w:r w:rsidRPr="00026D80">
              <w:rPr>
                <w:rFonts w:ascii="Times New Roman" w:hAnsi="Times New Roman" w:cs="Times New Roman"/>
                <w:b/>
                <w:sz w:val="28"/>
                <w:szCs w:val="28"/>
              </w:rPr>
              <w:t>100</w:t>
            </w:r>
          </w:p>
        </w:tc>
      </w:tr>
      <w:tr w:rsidR="003F172D" w:rsidRPr="008E2853" w:rsidTr="00026D80">
        <w:tc>
          <w:tcPr>
            <w:tcW w:w="1492" w:type="dxa"/>
          </w:tcPr>
          <w:p w:rsidR="003F172D" w:rsidRPr="00026D80" w:rsidRDefault="003F172D" w:rsidP="00A43034">
            <w:pPr>
              <w:spacing w:before="100" w:beforeAutospacing="1" w:after="100" w:afterAutospacing="1" w:line="288" w:lineRule="auto"/>
              <w:jc w:val="both"/>
              <w:rPr>
                <w:rFonts w:ascii="Times New Roman" w:hAnsi="Times New Roman" w:cs="Times New Roman"/>
                <w:b/>
                <w:sz w:val="28"/>
                <w:szCs w:val="28"/>
              </w:rPr>
            </w:pPr>
            <w:r w:rsidRPr="00026D80">
              <w:rPr>
                <w:rFonts w:ascii="Times New Roman" w:hAnsi="Times New Roman" w:cs="Times New Roman"/>
                <w:iCs/>
                <w:color w:val="000000"/>
                <w:sz w:val="28"/>
                <w:szCs w:val="28"/>
              </w:rPr>
              <w:t>Rīga</w:t>
            </w:r>
          </w:p>
        </w:tc>
        <w:tc>
          <w:tcPr>
            <w:tcW w:w="1251" w:type="dxa"/>
          </w:tcPr>
          <w:p w:rsidR="003F172D" w:rsidRPr="00026D80" w:rsidRDefault="003F172D" w:rsidP="00A43034">
            <w:pPr>
              <w:spacing w:before="100" w:beforeAutospacing="1" w:after="100" w:afterAutospacing="1" w:line="288" w:lineRule="auto"/>
              <w:jc w:val="right"/>
              <w:rPr>
                <w:rFonts w:ascii="Times New Roman" w:hAnsi="Times New Roman" w:cs="Times New Roman"/>
                <w:sz w:val="28"/>
                <w:szCs w:val="28"/>
              </w:rPr>
            </w:pPr>
            <w:r w:rsidRPr="00026D80">
              <w:rPr>
                <w:rFonts w:ascii="Times New Roman" w:hAnsi="Times New Roman" w:cs="Times New Roman"/>
                <w:color w:val="000000"/>
                <w:sz w:val="28"/>
                <w:szCs w:val="28"/>
              </w:rPr>
              <w:t xml:space="preserve">9 049 346 </w:t>
            </w:r>
          </w:p>
        </w:tc>
        <w:tc>
          <w:tcPr>
            <w:tcW w:w="1244" w:type="dxa"/>
          </w:tcPr>
          <w:p w:rsidR="003F172D" w:rsidRPr="00026D80" w:rsidRDefault="003F172D" w:rsidP="00A43034">
            <w:pPr>
              <w:jc w:val="right"/>
              <w:rPr>
                <w:rFonts w:ascii="Times New Roman" w:hAnsi="Times New Roman" w:cs="Times New Roman"/>
                <w:sz w:val="28"/>
                <w:szCs w:val="28"/>
              </w:rPr>
            </w:pPr>
            <w:r w:rsidRPr="00026D80">
              <w:rPr>
                <w:rFonts w:ascii="Times New Roman" w:hAnsi="Times New Roman" w:cs="Times New Roman"/>
                <w:sz w:val="28"/>
                <w:szCs w:val="28"/>
              </w:rPr>
              <w:t>10 322 729</w:t>
            </w:r>
          </w:p>
        </w:tc>
        <w:tc>
          <w:tcPr>
            <w:tcW w:w="1375" w:type="dxa"/>
          </w:tcPr>
          <w:p w:rsidR="003F172D" w:rsidRPr="00026D80" w:rsidRDefault="003F172D" w:rsidP="00A43034">
            <w:pPr>
              <w:spacing w:before="100" w:beforeAutospacing="1" w:after="100" w:afterAutospacing="1" w:line="288" w:lineRule="auto"/>
              <w:jc w:val="right"/>
              <w:rPr>
                <w:rFonts w:ascii="Times New Roman" w:hAnsi="Times New Roman" w:cs="Times New Roman"/>
                <w:sz w:val="28"/>
                <w:szCs w:val="28"/>
              </w:rPr>
            </w:pPr>
            <w:r w:rsidRPr="00026D80">
              <w:rPr>
                <w:rFonts w:ascii="Times New Roman" w:hAnsi="Times New Roman" w:cs="Times New Roman"/>
                <w:bCs/>
                <w:color w:val="000000"/>
                <w:sz w:val="28"/>
                <w:szCs w:val="28"/>
              </w:rPr>
              <w:t>50,9</w:t>
            </w:r>
          </w:p>
        </w:tc>
        <w:tc>
          <w:tcPr>
            <w:tcW w:w="1291" w:type="dxa"/>
          </w:tcPr>
          <w:p w:rsidR="003F172D" w:rsidRPr="00026D80" w:rsidRDefault="003F172D" w:rsidP="00A43034">
            <w:pPr>
              <w:spacing w:before="100" w:beforeAutospacing="1" w:after="100" w:afterAutospacing="1" w:line="288" w:lineRule="auto"/>
              <w:jc w:val="right"/>
              <w:rPr>
                <w:rFonts w:ascii="Times New Roman" w:hAnsi="Times New Roman" w:cs="Times New Roman"/>
                <w:sz w:val="28"/>
                <w:szCs w:val="28"/>
              </w:rPr>
            </w:pPr>
            <w:r w:rsidRPr="00026D80">
              <w:rPr>
                <w:rFonts w:ascii="Times New Roman" w:hAnsi="Times New Roman" w:cs="Times New Roman"/>
                <w:color w:val="000000"/>
                <w:sz w:val="28"/>
                <w:szCs w:val="28"/>
              </w:rPr>
              <w:t xml:space="preserve">10 037 007 </w:t>
            </w:r>
          </w:p>
        </w:tc>
        <w:tc>
          <w:tcPr>
            <w:tcW w:w="1244" w:type="dxa"/>
          </w:tcPr>
          <w:p w:rsidR="003F172D" w:rsidRPr="00026D80" w:rsidRDefault="003F172D" w:rsidP="00A43034">
            <w:pPr>
              <w:jc w:val="right"/>
              <w:rPr>
                <w:rFonts w:ascii="Times New Roman" w:hAnsi="Times New Roman" w:cs="Times New Roman"/>
                <w:sz w:val="28"/>
                <w:szCs w:val="28"/>
              </w:rPr>
            </w:pPr>
            <w:r w:rsidRPr="00026D80">
              <w:rPr>
                <w:rFonts w:ascii="Times New Roman" w:hAnsi="Times New Roman" w:cs="Times New Roman"/>
                <w:sz w:val="28"/>
                <w:szCs w:val="28"/>
              </w:rPr>
              <w:t>11 501 370</w:t>
            </w:r>
          </w:p>
        </w:tc>
        <w:tc>
          <w:tcPr>
            <w:tcW w:w="1390" w:type="dxa"/>
          </w:tcPr>
          <w:p w:rsidR="003F172D" w:rsidRPr="00026D80" w:rsidRDefault="003F172D" w:rsidP="00A43034">
            <w:pPr>
              <w:spacing w:before="100" w:beforeAutospacing="1" w:after="100" w:afterAutospacing="1" w:line="288" w:lineRule="auto"/>
              <w:jc w:val="right"/>
              <w:rPr>
                <w:rFonts w:ascii="Times New Roman" w:hAnsi="Times New Roman" w:cs="Times New Roman"/>
                <w:sz w:val="28"/>
                <w:szCs w:val="28"/>
              </w:rPr>
            </w:pPr>
            <w:r w:rsidRPr="00026D80">
              <w:rPr>
                <w:rFonts w:ascii="Times New Roman" w:hAnsi="Times New Roman" w:cs="Times New Roman"/>
                <w:bCs/>
                <w:color w:val="000000"/>
                <w:sz w:val="28"/>
                <w:szCs w:val="28"/>
              </w:rPr>
              <w:t>52,2</w:t>
            </w:r>
          </w:p>
        </w:tc>
      </w:tr>
      <w:tr w:rsidR="003F172D" w:rsidRPr="008E2853" w:rsidTr="00026D80">
        <w:tc>
          <w:tcPr>
            <w:tcW w:w="1492" w:type="dxa"/>
          </w:tcPr>
          <w:p w:rsidR="003F172D" w:rsidRPr="00026D80" w:rsidRDefault="003F172D" w:rsidP="00A43034">
            <w:pPr>
              <w:spacing w:before="100" w:beforeAutospacing="1" w:after="100" w:afterAutospacing="1" w:line="288" w:lineRule="auto"/>
              <w:jc w:val="both"/>
              <w:rPr>
                <w:rFonts w:ascii="Times New Roman" w:hAnsi="Times New Roman" w:cs="Times New Roman"/>
                <w:b/>
                <w:sz w:val="28"/>
                <w:szCs w:val="28"/>
              </w:rPr>
            </w:pPr>
            <w:r w:rsidRPr="00026D80">
              <w:rPr>
                <w:rFonts w:ascii="Times New Roman" w:hAnsi="Times New Roman" w:cs="Times New Roman"/>
                <w:iCs/>
                <w:color w:val="000000"/>
                <w:sz w:val="28"/>
                <w:szCs w:val="28"/>
              </w:rPr>
              <w:t>Daugavpils</w:t>
            </w:r>
          </w:p>
        </w:tc>
        <w:tc>
          <w:tcPr>
            <w:tcW w:w="1251" w:type="dxa"/>
          </w:tcPr>
          <w:p w:rsidR="003F172D" w:rsidRPr="00026D80" w:rsidRDefault="003F172D" w:rsidP="00A43034">
            <w:pPr>
              <w:spacing w:before="100" w:beforeAutospacing="1" w:after="100" w:afterAutospacing="1" w:line="288" w:lineRule="auto"/>
              <w:jc w:val="right"/>
              <w:rPr>
                <w:rFonts w:ascii="Times New Roman" w:hAnsi="Times New Roman" w:cs="Times New Roman"/>
                <w:sz w:val="28"/>
                <w:szCs w:val="28"/>
              </w:rPr>
            </w:pPr>
            <w:r w:rsidRPr="00026D80">
              <w:rPr>
                <w:rFonts w:ascii="Times New Roman" w:hAnsi="Times New Roman" w:cs="Times New Roman"/>
                <w:color w:val="000000"/>
                <w:sz w:val="28"/>
                <w:szCs w:val="28"/>
              </w:rPr>
              <w:t xml:space="preserve">609 849 </w:t>
            </w:r>
          </w:p>
        </w:tc>
        <w:tc>
          <w:tcPr>
            <w:tcW w:w="1244" w:type="dxa"/>
          </w:tcPr>
          <w:p w:rsidR="003F172D" w:rsidRPr="00026D80" w:rsidRDefault="003F172D" w:rsidP="00A43034">
            <w:pPr>
              <w:jc w:val="right"/>
              <w:rPr>
                <w:rFonts w:ascii="Times New Roman" w:hAnsi="Times New Roman" w:cs="Times New Roman"/>
                <w:sz w:val="28"/>
                <w:szCs w:val="28"/>
              </w:rPr>
            </w:pPr>
            <w:r w:rsidRPr="00026D80">
              <w:rPr>
                <w:rFonts w:ascii="Times New Roman" w:hAnsi="Times New Roman" w:cs="Times New Roman"/>
                <w:sz w:val="28"/>
                <w:szCs w:val="28"/>
              </w:rPr>
              <w:t>695 664</w:t>
            </w:r>
          </w:p>
        </w:tc>
        <w:tc>
          <w:tcPr>
            <w:tcW w:w="1375" w:type="dxa"/>
          </w:tcPr>
          <w:p w:rsidR="003F172D" w:rsidRPr="00026D80" w:rsidRDefault="003F172D" w:rsidP="00A43034">
            <w:pPr>
              <w:spacing w:before="100" w:beforeAutospacing="1" w:after="100" w:afterAutospacing="1" w:line="288" w:lineRule="auto"/>
              <w:jc w:val="right"/>
              <w:rPr>
                <w:rFonts w:ascii="Times New Roman" w:hAnsi="Times New Roman" w:cs="Times New Roman"/>
                <w:sz w:val="28"/>
                <w:szCs w:val="28"/>
              </w:rPr>
            </w:pPr>
            <w:r w:rsidRPr="00026D80">
              <w:rPr>
                <w:rFonts w:ascii="Times New Roman" w:hAnsi="Times New Roman" w:cs="Times New Roman"/>
                <w:bCs/>
                <w:color w:val="000000"/>
                <w:sz w:val="28"/>
                <w:szCs w:val="28"/>
              </w:rPr>
              <w:t>3,4</w:t>
            </w:r>
          </w:p>
        </w:tc>
        <w:tc>
          <w:tcPr>
            <w:tcW w:w="1291" w:type="dxa"/>
          </w:tcPr>
          <w:p w:rsidR="003F172D" w:rsidRPr="00026D80" w:rsidRDefault="003F172D" w:rsidP="00A43034">
            <w:pPr>
              <w:spacing w:before="100" w:beforeAutospacing="1" w:after="100" w:afterAutospacing="1" w:line="288" w:lineRule="auto"/>
              <w:jc w:val="right"/>
              <w:rPr>
                <w:rFonts w:ascii="Times New Roman" w:hAnsi="Times New Roman" w:cs="Times New Roman"/>
                <w:sz w:val="28"/>
                <w:szCs w:val="28"/>
              </w:rPr>
            </w:pPr>
            <w:r w:rsidRPr="00026D80">
              <w:rPr>
                <w:rFonts w:ascii="Times New Roman" w:hAnsi="Times New Roman" w:cs="Times New Roman"/>
                <w:color w:val="000000"/>
                <w:sz w:val="28"/>
                <w:szCs w:val="28"/>
              </w:rPr>
              <w:t xml:space="preserve">656 461 </w:t>
            </w:r>
          </w:p>
        </w:tc>
        <w:tc>
          <w:tcPr>
            <w:tcW w:w="1244" w:type="dxa"/>
          </w:tcPr>
          <w:p w:rsidR="003F172D" w:rsidRPr="00026D80" w:rsidRDefault="003F172D" w:rsidP="00A43034">
            <w:pPr>
              <w:jc w:val="right"/>
              <w:rPr>
                <w:rFonts w:ascii="Times New Roman" w:hAnsi="Times New Roman" w:cs="Times New Roman"/>
                <w:sz w:val="28"/>
                <w:szCs w:val="28"/>
              </w:rPr>
            </w:pPr>
            <w:r w:rsidRPr="00026D80">
              <w:rPr>
                <w:rFonts w:ascii="Times New Roman" w:hAnsi="Times New Roman" w:cs="Times New Roman"/>
                <w:sz w:val="28"/>
                <w:szCs w:val="28"/>
              </w:rPr>
              <w:t>752 236</w:t>
            </w:r>
          </w:p>
        </w:tc>
        <w:tc>
          <w:tcPr>
            <w:tcW w:w="1390" w:type="dxa"/>
          </w:tcPr>
          <w:p w:rsidR="003F172D" w:rsidRPr="00026D80" w:rsidRDefault="003F172D" w:rsidP="00A43034">
            <w:pPr>
              <w:spacing w:before="100" w:beforeAutospacing="1" w:after="100" w:afterAutospacing="1" w:line="288" w:lineRule="auto"/>
              <w:jc w:val="right"/>
              <w:rPr>
                <w:rFonts w:ascii="Times New Roman" w:hAnsi="Times New Roman" w:cs="Times New Roman"/>
                <w:sz w:val="28"/>
                <w:szCs w:val="28"/>
              </w:rPr>
            </w:pPr>
            <w:r w:rsidRPr="00026D80">
              <w:rPr>
                <w:rFonts w:ascii="Times New Roman" w:hAnsi="Times New Roman" w:cs="Times New Roman"/>
                <w:bCs/>
                <w:color w:val="000000"/>
                <w:sz w:val="28"/>
                <w:szCs w:val="28"/>
              </w:rPr>
              <w:t>3,4</w:t>
            </w:r>
          </w:p>
        </w:tc>
      </w:tr>
      <w:tr w:rsidR="003F172D" w:rsidRPr="008E2853" w:rsidTr="00026D80">
        <w:tc>
          <w:tcPr>
            <w:tcW w:w="1492" w:type="dxa"/>
          </w:tcPr>
          <w:p w:rsidR="003F172D" w:rsidRPr="00026D80" w:rsidRDefault="003F172D" w:rsidP="00A43034">
            <w:pPr>
              <w:spacing w:before="100" w:beforeAutospacing="1" w:after="100" w:afterAutospacing="1" w:line="288" w:lineRule="auto"/>
              <w:jc w:val="both"/>
              <w:rPr>
                <w:rFonts w:ascii="Times New Roman" w:hAnsi="Times New Roman" w:cs="Times New Roman"/>
                <w:b/>
                <w:sz w:val="28"/>
                <w:szCs w:val="28"/>
              </w:rPr>
            </w:pPr>
            <w:r w:rsidRPr="00026D80">
              <w:rPr>
                <w:rFonts w:ascii="Times New Roman" w:hAnsi="Times New Roman" w:cs="Times New Roman"/>
                <w:iCs/>
                <w:color w:val="000000"/>
                <w:sz w:val="28"/>
                <w:szCs w:val="28"/>
              </w:rPr>
              <w:t>Jelgava</w:t>
            </w:r>
          </w:p>
        </w:tc>
        <w:tc>
          <w:tcPr>
            <w:tcW w:w="1251" w:type="dxa"/>
          </w:tcPr>
          <w:p w:rsidR="003F172D" w:rsidRPr="00026D80" w:rsidRDefault="003F172D" w:rsidP="00A43034">
            <w:pPr>
              <w:spacing w:before="100" w:beforeAutospacing="1" w:after="100" w:afterAutospacing="1" w:line="288" w:lineRule="auto"/>
              <w:jc w:val="right"/>
              <w:rPr>
                <w:rFonts w:ascii="Times New Roman" w:hAnsi="Times New Roman" w:cs="Times New Roman"/>
                <w:sz w:val="28"/>
                <w:szCs w:val="28"/>
              </w:rPr>
            </w:pPr>
            <w:r w:rsidRPr="00026D80">
              <w:rPr>
                <w:rFonts w:ascii="Times New Roman" w:hAnsi="Times New Roman" w:cs="Times New Roman"/>
                <w:color w:val="000000"/>
                <w:sz w:val="28"/>
                <w:szCs w:val="28"/>
              </w:rPr>
              <w:t xml:space="preserve">436 739 </w:t>
            </w:r>
          </w:p>
        </w:tc>
        <w:tc>
          <w:tcPr>
            <w:tcW w:w="1244" w:type="dxa"/>
          </w:tcPr>
          <w:p w:rsidR="003F172D" w:rsidRPr="00026D80" w:rsidRDefault="003F172D" w:rsidP="00A43034">
            <w:pPr>
              <w:jc w:val="right"/>
              <w:rPr>
                <w:rFonts w:ascii="Times New Roman" w:hAnsi="Times New Roman" w:cs="Times New Roman"/>
                <w:sz w:val="28"/>
                <w:szCs w:val="28"/>
              </w:rPr>
            </w:pPr>
            <w:r w:rsidRPr="00026D80">
              <w:rPr>
                <w:rFonts w:ascii="Times New Roman" w:hAnsi="Times New Roman" w:cs="Times New Roman"/>
                <w:sz w:val="28"/>
                <w:szCs w:val="28"/>
              </w:rPr>
              <w:t>498 195</w:t>
            </w:r>
          </w:p>
        </w:tc>
        <w:tc>
          <w:tcPr>
            <w:tcW w:w="1375" w:type="dxa"/>
          </w:tcPr>
          <w:p w:rsidR="003F172D" w:rsidRPr="00026D80" w:rsidRDefault="003F172D" w:rsidP="00A43034">
            <w:pPr>
              <w:spacing w:before="100" w:beforeAutospacing="1" w:after="100" w:afterAutospacing="1" w:line="288" w:lineRule="auto"/>
              <w:jc w:val="right"/>
              <w:rPr>
                <w:rFonts w:ascii="Times New Roman" w:hAnsi="Times New Roman" w:cs="Times New Roman"/>
                <w:sz w:val="28"/>
                <w:szCs w:val="28"/>
              </w:rPr>
            </w:pPr>
            <w:r w:rsidRPr="00026D80">
              <w:rPr>
                <w:rFonts w:ascii="Times New Roman" w:hAnsi="Times New Roman" w:cs="Times New Roman"/>
                <w:bCs/>
                <w:color w:val="000000"/>
                <w:sz w:val="28"/>
                <w:szCs w:val="28"/>
              </w:rPr>
              <w:t>2,5</w:t>
            </w:r>
          </w:p>
        </w:tc>
        <w:tc>
          <w:tcPr>
            <w:tcW w:w="1291" w:type="dxa"/>
          </w:tcPr>
          <w:p w:rsidR="003F172D" w:rsidRPr="00026D80" w:rsidRDefault="003F172D" w:rsidP="00A43034">
            <w:pPr>
              <w:spacing w:before="100" w:beforeAutospacing="1" w:after="100" w:afterAutospacing="1" w:line="288" w:lineRule="auto"/>
              <w:jc w:val="right"/>
              <w:rPr>
                <w:rFonts w:ascii="Times New Roman" w:hAnsi="Times New Roman" w:cs="Times New Roman"/>
                <w:sz w:val="28"/>
                <w:szCs w:val="28"/>
              </w:rPr>
            </w:pPr>
            <w:r w:rsidRPr="00026D80">
              <w:rPr>
                <w:rFonts w:ascii="Times New Roman" w:hAnsi="Times New Roman" w:cs="Times New Roman"/>
                <w:color w:val="000000"/>
                <w:sz w:val="28"/>
                <w:szCs w:val="28"/>
              </w:rPr>
              <w:t xml:space="preserve">487 016 </w:t>
            </w:r>
          </w:p>
        </w:tc>
        <w:tc>
          <w:tcPr>
            <w:tcW w:w="1244" w:type="dxa"/>
          </w:tcPr>
          <w:p w:rsidR="003F172D" w:rsidRPr="00026D80" w:rsidRDefault="003F172D" w:rsidP="00A43034">
            <w:pPr>
              <w:jc w:val="right"/>
              <w:rPr>
                <w:rFonts w:ascii="Times New Roman" w:hAnsi="Times New Roman" w:cs="Times New Roman"/>
                <w:sz w:val="28"/>
                <w:szCs w:val="28"/>
              </w:rPr>
            </w:pPr>
            <w:r w:rsidRPr="00026D80">
              <w:rPr>
                <w:rFonts w:ascii="Times New Roman" w:hAnsi="Times New Roman" w:cs="Times New Roman"/>
                <w:sz w:val="28"/>
                <w:szCs w:val="28"/>
              </w:rPr>
              <w:t>558 070</w:t>
            </w:r>
          </w:p>
        </w:tc>
        <w:tc>
          <w:tcPr>
            <w:tcW w:w="1390" w:type="dxa"/>
          </w:tcPr>
          <w:p w:rsidR="003F172D" w:rsidRPr="00026D80" w:rsidRDefault="003F172D" w:rsidP="00A43034">
            <w:pPr>
              <w:spacing w:before="100" w:beforeAutospacing="1" w:after="100" w:afterAutospacing="1" w:line="288" w:lineRule="auto"/>
              <w:jc w:val="right"/>
              <w:rPr>
                <w:rFonts w:ascii="Times New Roman" w:hAnsi="Times New Roman" w:cs="Times New Roman"/>
                <w:sz w:val="28"/>
                <w:szCs w:val="28"/>
              </w:rPr>
            </w:pPr>
            <w:r w:rsidRPr="00026D80">
              <w:rPr>
                <w:rFonts w:ascii="Times New Roman" w:hAnsi="Times New Roman" w:cs="Times New Roman"/>
                <w:bCs/>
                <w:color w:val="000000"/>
                <w:sz w:val="28"/>
                <w:szCs w:val="28"/>
              </w:rPr>
              <w:t>2,5</w:t>
            </w:r>
          </w:p>
        </w:tc>
      </w:tr>
      <w:tr w:rsidR="003F172D" w:rsidRPr="008E2853" w:rsidTr="00026D80">
        <w:tc>
          <w:tcPr>
            <w:tcW w:w="1492" w:type="dxa"/>
          </w:tcPr>
          <w:p w:rsidR="003F172D" w:rsidRPr="00026D80" w:rsidRDefault="003F172D" w:rsidP="00A43034">
            <w:pPr>
              <w:spacing w:before="100" w:beforeAutospacing="1" w:after="100" w:afterAutospacing="1" w:line="288" w:lineRule="auto"/>
              <w:jc w:val="both"/>
              <w:rPr>
                <w:rFonts w:ascii="Times New Roman" w:hAnsi="Times New Roman" w:cs="Times New Roman"/>
                <w:b/>
                <w:sz w:val="28"/>
                <w:szCs w:val="28"/>
              </w:rPr>
            </w:pPr>
            <w:r w:rsidRPr="00026D80">
              <w:rPr>
                <w:rFonts w:ascii="Times New Roman" w:hAnsi="Times New Roman" w:cs="Times New Roman"/>
                <w:iCs/>
                <w:color w:val="000000"/>
                <w:sz w:val="28"/>
                <w:szCs w:val="28"/>
              </w:rPr>
              <w:lastRenderedPageBreak/>
              <w:t>Jēkabpils</w:t>
            </w:r>
          </w:p>
        </w:tc>
        <w:tc>
          <w:tcPr>
            <w:tcW w:w="1251" w:type="dxa"/>
          </w:tcPr>
          <w:p w:rsidR="003F172D" w:rsidRPr="00026D80" w:rsidRDefault="003F172D" w:rsidP="00A43034">
            <w:pPr>
              <w:spacing w:before="100" w:beforeAutospacing="1" w:after="100" w:afterAutospacing="1" w:line="288" w:lineRule="auto"/>
              <w:jc w:val="right"/>
              <w:rPr>
                <w:rFonts w:ascii="Times New Roman" w:hAnsi="Times New Roman" w:cs="Times New Roman"/>
                <w:sz w:val="28"/>
                <w:szCs w:val="28"/>
              </w:rPr>
            </w:pPr>
            <w:r w:rsidRPr="00026D80">
              <w:rPr>
                <w:rFonts w:ascii="Times New Roman" w:hAnsi="Times New Roman" w:cs="Times New Roman"/>
                <w:color w:val="000000"/>
                <w:sz w:val="28"/>
                <w:szCs w:val="28"/>
              </w:rPr>
              <w:t xml:space="preserve">193 925 </w:t>
            </w:r>
          </w:p>
        </w:tc>
        <w:tc>
          <w:tcPr>
            <w:tcW w:w="1244" w:type="dxa"/>
          </w:tcPr>
          <w:p w:rsidR="003F172D" w:rsidRPr="00026D80" w:rsidRDefault="003F172D" w:rsidP="00A43034">
            <w:pPr>
              <w:jc w:val="right"/>
              <w:rPr>
                <w:rFonts w:ascii="Times New Roman" w:hAnsi="Times New Roman" w:cs="Times New Roman"/>
                <w:sz w:val="28"/>
                <w:szCs w:val="28"/>
              </w:rPr>
            </w:pPr>
            <w:r w:rsidRPr="00026D80">
              <w:rPr>
                <w:rFonts w:ascii="Times New Roman" w:hAnsi="Times New Roman" w:cs="Times New Roman"/>
                <w:sz w:val="28"/>
                <w:szCs w:val="28"/>
              </w:rPr>
              <w:t>221 213</w:t>
            </w:r>
          </w:p>
        </w:tc>
        <w:tc>
          <w:tcPr>
            <w:tcW w:w="1375" w:type="dxa"/>
          </w:tcPr>
          <w:p w:rsidR="003F172D" w:rsidRPr="00026D80" w:rsidRDefault="003F172D" w:rsidP="00A43034">
            <w:pPr>
              <w:spacing w:before="100" w:beforeAutospacing="1" w:after="100" w:afterAutospacing="1" w:line="288" w:lineRule="auto"/>
              <w:jc w:val="right"/>
              <w:rPr>
                <w:rFonts w:ascii="Times New Roman" w:hAnsi="Times New Roman" w:cs="Times New Roman"/>
                <w:sz w:val="28"/>
                <w:szCs w:val="28"/>
              </w:rPr>
            </w:pPr>
            <w:r w:rsidRPr="00026D80">
              <w:rPr>
                <w:rFonts w:ascii="Times New Roman" w:hAnsi="Times New Roman" w:cs="Times New Roman"/>
                <w:bCs/>
                <w:color w:val="000000"/>
                <w:sz w:val="28"/>
                <w:szCs w:val="28"/>
              </w:rPr>
              <w:t>1,1</w:t>
            </w:r>
          </w:p>
        </w:tc>
        <w:tc>
          <w:tcPr>
            <w:tcW w:w="1291" w:type="dxa"/>
          </w:tcPr>
          <w:p w:rsidR="003F172D" w:rsidRPr="00026D80" w:rsidRDefault="003F172D" w:rsidP="00A43034">
            <w:pPr>
              <w:spacing w:before="100" w:beforeAutospacing="1" w:after="100" w:afterAutospacing="1" w:line="288" w:lineRule="auto"/>
              <w:jc w:val="right"/>
              <w:rPr>
                <w:rFonts w:ascii="Times New Roman" w:hAnsi="Times New Roman" w:cs="Times New Roman"/>
                <w:sz w:val="28"/>
                <w:szCs w:val="28"/>
              </w:rPr>
            </w:pPr>
            <w:r w:rsidRPr="00026D80">
              <w:rPr>
                <w:rFonts w:ascii="Times New Roman" w:hAnsi="Times New Roman" w:cs="Times New Roman"/>
                <w:color w:val="000000"/>
                <w:sz w:val="28"/>
                <w:szCs w:val="28"/>
              </w:rPr>
              <w:t xml:space="preserve">187 140 </w:t>
            </w:r>
          </w:p>
        </w:tc>
        <w:tc>
          <w:tcPr>
            <w:tcW w:w="1244" w:type="dxa"/>
          </w:tcPr>
          <w:p w:rsidR="003F172D" w:rsidRPr="00026D80" w:rsidRDefault="003F172D" w:rsidP="00A43034">
            <w:pPr>
              <w:jc w:val="right"/>
              <w:rPr>
                <w:rFonts w:ascii="Times New Roman" w:hAnsi="Times New Roman" w:cs="Times New Roman"/>
                <w:sz w:val="28"/>
                <w:szCs w:val="28"/>
              </w:rPr>
            </w:pPr>
            <w:r w:rsidRPr="00026D80">
              <w:rPr>
                <w:rFonts w:ascii="Times New Roman" w:hAnsi="Times New Roman" w:cs="Times New Roman"/>
                <w:sz w:val="28"/>
                <w:szCs w:val="28"/>
              </w:rPr>
              <w:t>214 443</w:t>
            </w:r>
          </w:p>
        </w:tc>
        <w:tc>
          <w:tcPr>
            <w:tcW w:w="1390" w:type="dxa"/>
          </w:tcPr>
          <w:p w:rsidR="003F172D" w:rsidRPr="00026D80" w:rsidRDefault="003F172D" w:rsidP="00A43034">
            <w:pPr>
              <w:spacing w:before="100" w:beforeAutospacing="1" w:after="100" w:afterAutospacing="1" w:line="288" w:lineRule="auto"/>
              <w:jc w:val="right"/>
              <w:rPr>
                <w:rFonts w:ascii="Times New Roman" w:hAnsi="Times New Roman" w:cs="Times New Roman"/>
                <w:sz w:val="28"/>
                <w:szCs w:val="28"/>
              </w:rPr>
            </w:pPr>
            <w:r w:rsidRPr="00026D80">
              <w:rPr>
                <w:rFonts w:ascii="Times New Roman" w:hAnsi="Times New Roman" w:cs="Times New Roman"/>
                <w:bCs/>
                <w:color w:val="000000"/>
                <w:sz w:val="28"/>
                <w:szCs w:val="28"/>
              </w:rPr>
              <w:t>1,0</w:t>
            </w:r>
          </w:p>
        </w:tc>
      </w:tr>
      <w:tr w:rsidR="003F172D" w:rsidRPr="008E2853" w:rsidTr="00026D80">
        <w:tc>
          <w:tcPr>
            <w:tcW w:w="1492" w:type="dxa"/>
          </w:tcPr>
          <w:p w:rsidR="003F172D" w:rsidRPr="00026D80" w:rsidRDefault="003F172D" w:rsidP="00A43034">
            <w:pPr>
              <w:spacing w:before="100" w:beforeAutospacing="1" w:after="100" w:afterAutospacing="1" w:line="288" w:lineRule="auto"/>
              <w:jc w:val="both"/>
              <w:rPr>
                <w:rFonts w:ascii="Times New Roman" w:hAnsi="Times New Roman" w:cs="Times New Roman"/>
                <w:b/>
                <w:sz w:val="28"/>
                <w:szCs w:val="28"/>
              </w:rPr>
            </w:pPr>
            <w:r w:rsidRPr="00026D80">
              <w:rPr>
                <w:rFonts w:ascii="Times New Roman" w:hAnsi="Times New Roman" w:cs="Times New Roman"/>
                <w:iCs/>
                <w:color w:val="000000"/>
                <w:sz w:val="28"/>
                <w:szCs w:val="28"/>
              </w:rPr>
              <w:t>Jūrmala</w:t>
            </w:r>
          </w:p>
        </w:tc>
        <w:tc>
          <w:tcPr>
            <w:tcW w:w="1251" w:type="dxa"/>
          </w:tcPr>
          <w:p w:rsidR="003F172D" w:rsidRPr="00026D80" w:rsidRDefault="003F172D" w:rsidP="00A43034">
            <w:pPr>
              <w:spacing w:before="100" w:beforeAutospacing="1" w:after="100" w:afterAutospacing="1" w:line="288" w:lineRule="auto"/>
              <w:jc w:val="right"/>
              <w:rPr>
                <w:rFonts w:ascii="Times New Roman" w:hAnsi="Times New Roman" w:cs="Times New Roman"/>
                <w:sz w:val="28"/>
                <w:szCs w:val="28"/>
              </w:rPr>
            </w:pPr>
            <w:r w:rsidRPr="00026D80">
              <w:rPr>
                <w:rFonts w:ascii="Times New Roman" w:hAnsi="Times New Roman" w:cs="Times New Roman"/>
                <w:color w:val="000000"/>
                <w:sz w:val="28"/>
                <w:szCs w:val="28"/>
              </w:rPr>
              <w:t xml:space="preserve">243 841 </w:t>
            </w:r>
          </w:p>
        </w:tc>
        <w:tc>
          <w:tcPr>
            <w:tcW w:w="1244" w:type="dxa"/>
          </w:tcPr>
          <w:p w:rsidR="003F172D" w:rsidRPr="00026D80" w:rsidRDefault="003F172D" w:rsidP="00A43034">
            <w:pPr>
              <w:jc w:val="right"/>
              <w:rPr>
                <w:rFonts w:ascii="Times New Roman" w:hAnsi="Times New Roman" w:cs="Times New Roman"/>
                <w:sz w:val="28"/>
                <w:szCs w:val="28"/>
              </w:rPr>
            </w:pPr>
            <w:r w:rsidRPr="00026D80">
              <w:rPr>
                <w:rFonts w:ascii="Times New Roman" w:hAnsi="Times New Roman" w:cs="Times New Roman"/>
                <w:sz w:val="28"/>
                <w:szCs w:val="28"/>
              </w:rPr>
              <w:t>278 153</w:t>
            </w:r>
          </w:p>
        </w:tc>
        <w:tc>
          <w:tcPr>
            <w:tcW w:w="1375" w:type="dxa"/>
          </w:tcPr>
          <w:p w:rsidR="003F172D" w:rsidRPr="00026D80" w:rsidRDefault="003F172D" w:rsidP="00A43034">
            <w:pPr>
              <w:spacing w:before="100" w:beforeAutospacing="1" w:after="100" w:afterAutospacing="1" w:line="288" w:lineRule="auto"/>
              <w:jc w:val="right"/>
              <w:rPr>
                <w:rFonts w:ascii="Times New Roman" w:hAnsi="Times New Roman" w:cs="Times New Roman"/>
                <w:sz w:val="28"/>
                <w:szCs w:val="28"/>
              </w:rPr>
            </w:pPr>
            <w:r w:rsidRPr="00026D80">
              <w:rPr>
                <w:rFonts w:ascii="Times New Roman" w:hAnsi="Times New Roman" w:cs="Times New Roman"/>
                <w:bCs/>
                <w:color w:val="000000"/>
                <w:sz w:val="28"/>
                <w:szCs w:val="28"/>
              </w:rPr>
              <w:t>1,4</w:t>
            </w:r>
          </w:p>
        </w:tc>
        <w:tc>
          <w:tcPr>
            <w:tcW w:w="1291" w:type="dxa"/>
          </w:tcPr>
          <w:p w:rsidR="003F172D" w:rsidRPr="00026D80" w:rsidRDefault="003F172D" w:rsidP="00A43034">
            <w:pPr>
              <w:spacing w:before="100" w:beforeAutospacing="1" w:after="100" w:afterAutospacing="1" w:line="288" w:lineRule="auto"/>
              <w:jc w:val="right"/>
              <w:rPr>
                <w:rFonts w:ascii="Times New Roman" w:hAnsi="Times New Roman" w:cs="Times New Roman"/>
                <w:sz w:val="28"/>
                <w:szCs w:val="28"/>
              </w:rPr>
            </w:pPr>
            <w:r w:rsidRPr="00026D80">
              <w:rPr>
                <w:rFonts w:ascii="Times New Roman" w:hAnsi="Times New Roman" w:cs="Times New Roman"/>
                <w:color w:val="000000"/>
                <w:sz w:val="28"/>
                <w:szCs w:val="28"/>
              </w:rPr>
              <w:t xml:space="preserve">310 633 </w:t>
            </w:r>
          </w:p>
        </w:tc>
        <w:tc>
          <w:tcPr>
            <w:tcW w:w="1244" w:type="dxa"/>
          </w:tcPr>
          <w:p w:rsidR="003F172D" w:rsidRPr="00026D80" w:rsidRDefault="003F172D" w:rsidP="00A43034">
            <w:pPr>
              <w:jc w:val="right"/>
              <w:rPr>
                <w:rFonts w:ascii="Times New Roman" w:hAnsi="Times New Roman" w:cs="Times New Roman"/>
                <w:sz w:val="28"/>
                <w:szCs w:val="28"/>
              </w:rPr>
            </w:pPr>
            <w:r w:rsidRPr="00026D80">
              <w:rPr>
                <w:rFonts w:ascii="Times New Roman" w:hAnsi="Times New Roman" w:cs="Times New Roman"/>
                <w:sz w:val="28"/>
                <w:szCs w:val="28"/>
              </w:rPr>
              <w:t>355 953</w:t>
            </w:r>
          </w:p>
        </w:tc>
        <w:tc>
          <w:tcPr>
            <w:tcW w:w="1390" w:type="dxa"/>
          </w:tcPr>
          <w:p w:rsidR="003F172D" w:rsidRPr="00026D80" w:rsidRDefault="003F172D" w:rsidP="00A43034">
            <w:pPr>
              <w:spacing w:before="100" w:beforeAutospacing="1" w:after="100" w:afterAutospacing="1" w:line="288" w:lineRule="auto"/>
              <w:jc w:val="right"/>
              <w:rPr>
                <w:rFonts w:ascii="Times New Roman" w:hAnsi="Times New Roman" w:cs="Times New Roman"/>
                <w:sz w:val="28"/>
                <w:szCs w:val="28"/>
              </w:rPr>
            </w:pPr>
            <w:r w:rsidRPr="00026D80">
              <w:rPr>
                <w:rFonts w:ascii="Times New Roman" w:hAnsi="Times New Roman" w:cs="Times New Roman"/>
                <w:bCs/>
                <w:color w:val="000000"/>
                <w:sz w:val="28"/>
                <w:szCs w:val="28"/>
              </w:rPr>
              <w:t>1,6</w:t>
            </w:r>
          </w:p>
        </w:tc>
      </w:tr>
      <w:tr w:rsidR="003F172D" w:rsidRPr="008E2853" w:rsidTr="00026D80">
        <w:tc>
          <w:tcPr>
            <w:tcW w:w="1492" w:type="dxa"/>
          </w:tcPr>
          <w:p w:rsidR="003F172D" w:rsidRPr="00026D80" w:rsidRDefault="003F172D" w:rsidP="00A43034">
            <w:pPr>
              <w:spacing w:before="100" w:beforeAutospacing="1" w:after="100" w:afterAutospacing="1" w:line="288" w:lineRule="auto"/>
              <w:jc w:val="both"/>
              <w:rPr>
                <w:rFonts w:ascii="Times New Roman" w:hAnsi="Times New Roman" w:cs="Times New Roman"/>
                <w:b/>
                <w:sz w:val="28"/>
                <w:szCs w:val="28"/>
              </w:rPr>
            </w:pPr>
            <w:r w:rsidRPr="00026D80">
              <w:rPr>
                <w:rFonts w:ascii="Times New Roman" w:hAnsi="Times New Roman" w:cs="Times New Roman"/>
                <w:iCs/>
                <w:color w:val="000000"/>
                <w:sz w:val="28"/>
                <w:szCs w:val="28"/>
              </w:rPr>
              <w:t>Liepāja</w:t>
            </w:r>
          </w:p>
        </w:tc>
        <w:tc>
          <w:tcPr>
            <w:tcW w:w="1251" w:type="dxa"/>
          </w:tcPr>
          <w:p w:rsidR="003F172D" w:rsidRPr="00026D80" w:rsidRDefault="003F172D" w:rsidP="00A43034">
            <w:pPr>
              <w:spacing w:before="100" w:beforeAutospacing="1" w:after="100" w:afterAutospacing="1" w:line="288" w:lineRule="auto"/>
              <w:jc w:val="right"/>
              <w:rPr>
                <w:rFonts w:ascii="Times New Roman" w:hAnsi="Times New Roman" w:cs="Times New Roman"/>
                <w:sz w:val="28"/>
                <w:szCs w:val="28"/>
              </w:rPr>
            </w:pPr>
            <w:r w:rsidRPr="00026D80">
              <w:rPr>
                <w:rFonts w:ascii="Times New Roman" w:hAnsi="Times New Roman" w:cs="Times New Roman"/>
                <w:color w:val="000000"/>
                <w:sz w:val="28"/>
                <w:szCs w:val="28"/>
              </w:rPr>
              <w:t xml:space="preserve">726 442 </w:t>
            </w:r>
          </w:p>
        </w:tc>
        <w:tc>
          <w:tcPr>
            <w:tcW w:w="1244" w:type="dxa"/>
          </w:tcPr>
          <w:p w:rsidR="003F172D" w:rsidRPr="00026D80" w:rsidRDefault="003F172D" w:rsidP="00A43034">
            <w:pPr>
              <w:jc w:val="right"/>
              <w:rPr>
                <w:rFonts w:ascii="Times New Roman" w:hAnsi="Times New Roman" w:cs="Times New Roman"/>
                <w:sz w:val="28"/>
                <w:szCs w:val="28"/>
              </w:rPr>
            </w:pPr>
            <w:r w:rsidRPr="00026D80">
              <w:rPr>
                <w:rFonts w:ascii="Times New Roman" w:hAnsi="Times New Roman" w:cs="Times New Roman"/>
                <w:sz w:val="28"/>
                <w:szCs w:val="28"/>
              </w:rPr>
              <w:t>828 664</w:t>
            </w:r>
          </w:p>
        </w:tc>
        <w:tc>
          <w:tcPr>
            <w:tcW w:w="1375" w:type="dxa"/>
          </w:tcPr>
          <w:p w:rsidR="003F172D" w:rsidRPr="00026D80" w:rsidRDefault="003F172D" w:rsidP="00A43034">
            <w:pPr>
              <w:spacing w:before="100" w:beforeAutospacing="1" w:after="100" w:afterAutospacing="1" w:line="288" w:lineRule="auto"/>
              <w:jc w:val="right"/>
              <w:rPr>
                <w:rFonts w:ascii="Times New Roman" w:hAnsi="Times New Roman" w:cs="Times New Roman"/>
                <w:sz w:val="28"/>
                <w:szCs w:val="28"/>
              </w:rPr>
            </w:pPr>
            <w:r w:rsidRPr="00026D80">
              <w:rPr>
                <w:rFonts w:ascii="Times New Roman" w:hAnsi="Times New Roman" w:cs="Times New Roman"/>
                <w:bCs/>
                <w:color w:val="000000"/>
                <w:sz w:val="28"/>
                <w:szCs w:val="28"/>
              </w:rPr>
              <w:t>4,1</w:t>
            </w:r>
          </w:p>
        </w:tc>
        <w:tc>
          <w:tcPr>
            <w:tcW w:w="1291" w:type="dxa"/>
          </w:tcPr>
          <w:p w:rsidR="003F172D" w:rsidRPr="00026D80" w:rsidRDefault="003F172D" w:rsidP="00A43034">
            <w:pPr>
              <w:spacing w:before="100" w:beforeAutospacing="1" w:after="100" w:afterAutospacing="1" w:line="288" w:lineRule="auto"/>
              <w:jc w:val="right"/>
              <w:rPr>
                <w:rFonts w:ascii="Times New Roman" w:hAnsi="Times New Roman" w:cs="Times New Roman"/>
                <w:sz w:val="28"/>
                <w:szCs w:val="28"/>
              </w:rPr>
            </w:pPr>
            <w:r w:rsidRPr="00026D80">
              <w:rPr>
                <w:rFonts w:ascii="Times New Roman" w:hAnsi="Times New Roman" w:cs="Times New Roman"/>
                <w:color w:val="000000"/>
                <w:sz w:val="28"/>
                <w:szCs w:val="28"/>
              </w:rPr>
              <w:t xml:space="preserve">724 610 </w:t>
            </w:r>
          </w:p>
        </w:tc>
        <w:tc>
          <w:tcPr>
            <w:tcW w:w="1244" w:type="dxa"/>
          </w:tcPr>
          <w:p w:rsidR="003F172D" w:rsidRPr="00026D80" w:rsidRDefault="003F172D" w:rsidP="00A43034">
            <w:pPr>
              <w:jc w:val="right"/>
              <w:rPr>
                <w:rFonts w:ascii="Times New Roman" w:hAnsi="Times New Roman" w:cs="Times New Roman"/>
                <w:sz w:val="28"/>
                <w:szCs w:val="28"/>
              </w:rPr>
            </w:pPr>
            <w:r w:rsidRPr="00026D80">
              <w:rPr>
                <w:rFonts w:ascii="Times New Roman" w:hAnsi="Times New Roman" w:cs="Times New Roman"/>
                <w:sz w:val="28"/>
                <w:szCs w:val="28"/>
              </w:rPr>
              <w:t>830 328</w:t>
            </w:r>
          </w:p>
        </w:tc>
        <w:tc>
          <w:tcPr>
            <w:tcW w:w="1390" w:type="dxa"/>
          </w:tcPr>
          <w:p w:rsidR="003F172D" w:rsidRPr="00026D80" w:rsidRDefault="003F172D" w:rsidP="00A43034">
            <w:pPr>
              <w:spacing w:before="100" w:beforeAutospacing="1" w:after="100" w:afterAutospacing="1" w:line="288" w:lineRule="auto"/>
              <w:jc w:val="right"/>
              <w:rPr>
                <w:rFonts w:ascii="Times New Roman" w:hAnsi="Times New Roman" w:cs="Times New Roman"/>
                <w:sz w:val="28"/>
                <w:szCs w:val="28"/>
              </w:rPr>
            </w:pPr>
            <w:r w:rsidRPr="00026D80">
              <w:rPr>
                <w:rFonts w:ascii="Times New Roman" w:hAnsi="Times New Roman" w:cs="Times New Roman"/>
                <w:bCs/>
                <w:color w:val="000000"/>
                <w:sz w:val="28"/>
                <w:szCs w:val="28"/>
              </w:rPr>
              <w:t>3,8</w:t>
            </w:r>
          </w:p>
        </w:tc>
      </w:tr>
      <w:tr w:rsidR="003F172D" w:rsidRPr="008E2853" w:rsidTr="00026D80">
        <w:tc>
          <w:tcPr>
            <w:tcW w:w="1492" w:type="dxa"/>
          </w:tcPr>
          <w:p w:rsidR="003F172D" w:rsidRPr="00026D80" w:rsidRDefault="003F172D" w:rsidP="00A43034">
            <w:pPr>
              <w:spacing w:before="100" w:beforeAutospacing="1" w:after="100" w:afterAutospacing="1" w:line="288" w:lineRule="auto"/>
              <w:jc w:val="both"/>
              <w:rPr>
                <w:rFonts w:ascii="Times New Roman" w:hAnsi="Times New Roman" w:cs="Times New Roman"/>
                <w:b/>
                <w:sz w:val="28"/>
                <w:szCs w:val="28"/>
              </w:rPr>
            </w:pPr>
            <w:r w:rsidRPr="00026D80">
              <w:rPr>
                <w:rFonts w:ascii="Times New Roman" w:hAnsi="Times New Roman" w:cs="Times New Roman"/>
                <w:iCs/>
                <w:color w:val="000000"/>
                <w:sz w:val="28"/>
                <w:szCs w:val="28"/>
              </w:rPr>
              <w:t>Rēzekne</w:t>
            </w:r>
          </w:p>
        </w:tc>
        <w:tc>
          <w:tcPr>
            <w:tcW w:w="1251" w:type="dxa"/>
          </w:tcPr>
          <w:p w:rsidR="003F172D" w:rsidRPr="00026D80" w:rsidRDefault="003F172D" w:rsidP="00A43034">
            <w:pPr>
              <w:spacing w:before="100" w:beforeAutospacing="1" w:after="100" w:afterAutospacing="1" w:line="288" w:lineRule="auto"/>
              <w:jc w:val="right"/>
              <w:rPr>
                <w:rFonts w:ascii="Times New Roman" w:hAnsi="Times New Roman" w:cs="Times New Roman"/>
                <w:sz w:val="28"/>
                <w:szCs w:val="28"/>
              </w:rPr>
            </w:pPr>
            <w:r w:rsidRPr="00026D80">
              <w:rPr>
                <w:rFonts w:ascii="Times New Roman" w:hAnsi="Times New Roman" w:cs="Times New Roman"/>
                <w:color w:val="000000"/>
                <w:sz w:val="28"/>
                <w:szCs w:val="28"/>
              </w:rPr>
              <w:t xml:space="preserve">276 495 </w:t>
            </w:r>
          </w:p>
        </w:tc>
        <w:tc>
          <w:tcPr>
            <w:tcW w:w="1244" w:type="dxa"/>
          </w:tcPr>
          <w:p w:rsidR="003F172D" w:rsidRPr="00026D80" w:rsidRDefault="003F172D" w:rsidP="00A43034">
            <w:pPr>
              <w:jc w:val="right"/>
              <w:rPr>
                <w:rFonts w:ascii="Times New Roman" w:hAnsi="Times New Roman" w:cs="Times New Roman"/>
                <w:sz w:val="28"/>
                <w:szCs w:val="28"/>
              </w:rPr>
            </w:pPr>
            <w:r w:rsidRPr="00026D80">
              <w:rPr>
                <w:rFonts w:ascii="Times New Roman" w:hAnsi="Times New Roman" w:cs="Times New Roman"/>
                <w:sz w:val="28"/>
                <w:szCs w:val="28"/>
              </w:rPr>
              <w:t>315 402</w:t>
            </w:r>
          </w:p>
        </w:tc>
        <w:tc>
          <w:tcPr>
            <w:tcW w:w="1375" w:type="dxa"/>
          </w:tcPr>
          <w:p w:rsidR="003F172D" w:rsidRPr="00026D80" w:rsidRDefault="003F172D" w:rsidP="00A43034">
            <w:pPr>
              <w:spacing w:before="100" w:beforeAutospacing="1" w:after="100" w:afterAutospacing="1" w:line="288" w:lineRule="auto"/>
              <w:jc w:val="right"/>
              <w:rPr>
                <w:rFonts w:ascii="Times New Roman" w:hAnsi="Times New Roman" w:cs="Times New Roman"/>
                <w:sz w:val="28"/>
                <w:szCs w:val="28"/>
              </w:rPr>
            </w:pPr>
            <w:r w:rsidRPr="00026D80">
              <w:rPr>
                <w:rFonts w:ascii="Times New Roman" w:hAnsi="Times New Roman" w:cs="Times New Roman"/>
                <w:bCs/>
                <w:color w:val="000000"/>
                <w:sz w:val="28"/>
                <w:szCs w:val="28"/>
              </w:rPr>
              <w:t>1,6</w:t>
            </w:r>
          </w:p>
        </w:tc>
        <w:tc>
          <w:tcPr>
            <w:tcW w:w="1291" w:type="dxa"/>
          </w:tcPr>
          <w:p w:rsidR="003F172D" w:rsidRPr="00026D80" w:rsidRDefault="003F172D" w:rsidP="00A43034">
            <w:pPr>
              <w:spacing w:before="100" w:beforeAutospacing="1" w:after="100" w:afterAutospacing="1" w:line="288" w:lineRule="auto"/>
              <w:jc w:val="right"/>
              <w:rPr>
                <w:rFonts w:ascii="Times New Roman" w:hAnsi="Times New Roman" w:cs="Times New Roman"/>
                <w:sz w:val="28"/>
                <w:szCs w:val="28"/>
              </w:rPr>
            </w:pPr>
            <w:r w:rsidRPr="00026D80">
              <w:rPr>
                <w:rFonts w:ascii="Times New Roman" w:hAnsi="Times New Roman" w:cs="Times New Roman"/>
                <w:color w:val="000000"/>
                <w:sz w:val="28"/>
                <w:szCs w:val="28"/>
              </w:rPr>
              <w:t xml:space="preserve">270 861 </w:t>
            </w:r>
          </w:p>
        </w:tc>
        <w:tc>
          <w:tcPr>
            <w:tcW w:w="1244" w:type="dxa"/>
          </w:tcPr>
          <w:p w:rsidR="003F172D" w:rsidRPr="00026D80" w:rsidRDefault="003F172D" w:rsidP="00A43034">
            <w:pPr>
              <w:jc w:val="right"/>
              <w:rPr>
                <w:rFonts w:ascii="Times New Roman" w:hAnsi="Times New Roman" w:cs="Times New Roman"/>
                <w:sz w:val="28"/>
                <w:szCs w:val="28"/>
              </w:rPr>
            </w:pPr>
            <w:r w:rsidRPr="00026D80">
              <w:rPr>
                <w:rFonts w:ascii="Times New Roman" w:hAnsi="Times New Roman" w:cs="Times New Roman"/>
                <w:sz w:val="28"/>
                <w:szCs w:val="28"/>
              </w:rPr>
              <w:t>310 379</w:t>
            </w:r>
          </w:p>
        </w:tc>
        <w:tc>
          <w:tcPr>
            <w:tcW w:w="1390" w:type="dxa"/>
          </w:tcPr>
          <w:p w:rsidR="003F172D" w:rsidRPr="00026D80" w:rsidRDefault="003F172D" w:rsidP="00A43034">
            <w:pPr>
              <w:spacing w:before="100" w:beforeAutospacing="1" w:after="100" w:afterAutospacing="1" w:line="288" w:lineRule="auto"/>
              <w:jc w:val="right"/>
              <w:rPr>
                <w:rFonts w:ascii="Times New Roman" w:hAnsi="Times New Roman" w:cs="Times New Roman"/>
                <w:sz w:val="28"/>
                <w:szCs w:val="28"/>
              </w:rPr>
            </w:pPr>
            <w:r w:rsidRPr="00026D80">
              <w:rPr>
                <w:rFonts w:ascii="Times New Roman" w:hAnsi="Times New Roman" w:cs="Times New Roman"/>
                <w:bCs/>
                <w:color w:val="000000"/>
                <w:sz w:val="28"/>
                <w:szCs w:val="28"/>
              </w:rPr>
              <w:t>1,4</w:t>
            </w:r>
          </w:p>
        </w:tc>
      </w:tr>
      <w:tr w:rsidR="003F172D" w:rsidRPr="008E2853" w:rsidTr="00026D80">
        <w:tc>
          <w:tcPr>
            <w:tcW w:w="1492" w:type="dxa"/>
          </w:tcPr>
          <w:p w:rsidR="003F172D" w:rsidRPr="00026D80" w:rsidRDefault="003F172D" w:rsidP="00A43034">
            <w:pPr>
              <w:spacing w:before="100" w:beforeAutospacing="1" w:after="100" w:afterAutospacing="1" w:line="288" w:lineRule="auto"/>
              <w:jc w:val="both"/>
              <w:rPr>
                <w:rFonts w:ascii="Times New Roman" w:hAnsi="Times New Roman" w:cs="Times New Roman"/>
                <w:b/>
                <w:sz w:val="28"/>
                <w:szCs w:val="28"/>
              </w:rPr>
            </w:pPr>
            <w:r w:rsidRPr="00026D80">
              <w:rPr>
                <w:rFonts w:ascii="Times New Roman" w:hAnsi="Times New Roman" w:cs="Times New Roman"/>
                <w:iCs/>
                <w:color w:val="000000"/>
                <w:sz w:val="28"/>
                <w:szCs w:val="28"/>
              </w:rPr>
              <w:t>Valmiera</w:t>
            </w:r>
          </w:p>
        </w:tc>
        <w:tc>
          <w:tcPr>
            <w:tcW w:w="1251" w:type="dxa"/>
          </w:tcPr>
          <w:p w:rsidR="003F172D" w:rsidRPr="00026D80" w:rsidRDefault="003F172D" w:rsidP="00A43034">
            <w:pPr>
              <w:spacing w:before="100" w:beforeAutospacing="1" w:after="100" w:afterAutospacing="1" w:line="288" w:lineRule="auto"/>
              <w:jc w:val="right"/>
              <w:rPr>
                <w:rFonts w:ascii="Times New Roman" w:hAnsi="Times New Roman" w:cs="Times New Roman"/>
                <w:sz w:val="28"/>
                <w:szCs w:val="28"/>
              </w:rPr>
            </w:pPr>
            <w:r w:rsidRPr="00026D80">
              <w:rPr>
                <w:rFonts w:ascii="Times New Roman" w:hAnsi="Times New Roman" w:cs="Times New Roman"/>
                <w:color w:val="000000"/>
                <w:sz w:val="28"/>
                <w:szCs w:val="28"/>
              </w:rPr>
              <w:t xml:space="preserve">254 860 </w:t>
            </w:r>
          </w:p>
        </w:tc>
        <w:tc>
          <w:tcPr>
            <w:tcW w:w="1244" w:type="dxa"/>
          </w:tcPr>
          <w:p w:rsidR="003F172D" w:rsidRPr="00026D80" w:rsidRDefault="003F172D" w:rsidP="00A43034">
            <w:pPr>
              <w:jc w:val="right"/>
              <w:rPr>
                <w:rFonts w:ascii="Times New Roman" w:hAnsi="Times New Roman" w:cs="Times New Roman"/>
                <w:sz w:val="28"/>
                <w:szCs w:val="28"/>
              </w:rPr>
            </w:pPr>
            <w:r w:rsidRPr="00026D80">
              <w:rPr>
                <w:rFonts w:ascii="Times New Roman" w:hAnsi="Times New Roman" w:cs="Times New Roman"/>
                <w:sz w:val="28"/>
                <w:szCs w:val="28"/>
              </w:rPr>
              <w:t>290 723</w:t>
            </w:r>
          </w:p>
        </w:tc>
        <w:tc>
          <w:tcPr>
            <w:tcW w:w="1375" w:type="dxa"/>
          </w:tcPr>
          <w:p w:rsidR="003F172D" w:rsidRPr="00026D80" w:rsidRDefault="003F172D" w:rsidP="00A43034">
            <w:pPr>
              <w:spacing w:before="100" w:beforeAutospacing="1" w:after="100" w:afterAutospacing="1" w:line="288" w:lineRule="auto"/>
              <w:jc w:val="right"/>
              <w:rPr>
                <w:rFonts w:ascii="Times New Roman" w:hAnsi="Times New Roman" w:cs="Times New Roman"/>
                <w:sz w:val="28"/>
                <w:szCs w:val="28"/>
              </w:rPr>
            </w:pPr>
            <w:r w:rsidRPr="00026D80">
              <w:rPr>
                <w:rFonts w:ascii="Times New Roman" w:hAnsi="Times New Roman" w:cs="Times New Roman"/>
                <w:bCs/>
                <w:color w:val="000000"/>
                <w:sz w:val="28"/>
                <w:szCs w:val="28"/>
              </w:rPr>
              <w:t>1,4</w:t>
            </w:r>
          </w:p>
        </w:tc>
        <w:tc>
          <w:tcPr>
            <w:tcW w:w="1291" w:type="dxa"/>
          </w:tcPr>
          <w:p w:rsidR="003F172D" w:rsidRPr="00026D80" w:rsidRDefault="003F172D" w:rsidP="00A43034">
            <w:pPr>
              <w:spacing w:before="100" w:beforeAutospacing="1" w:after="100" w:afterAutospacing="1" w:line="288" w:lineRule="auto"/>
              <w:jc w:val="right"/>
              <w:rPr>
                <w:rFonts w:ascii="Times New Roman" w:hAnsi="Times New Roman" w:cs="Times New Roman"/>
                <w:sz w:val="28"/>
                <w:szCs w:val="28"/>
              </w:rPr>
            </w:pPr>
            <w:r w:rsidRPr="00026D80">
              <w:rPr>
                <w:rFonts w:ascii="Times New Roman" w:hAnsi="Times New Roman" w:cs="Times New Roman"/>
                <w:color w:val="000000"/>
                <w:sz w:val="28"/>
                <w:szCs w:val="28"/>
              </w:rPr>
              <w:t xml:space="preserve">271 171 </w:t>
            </w:r>
          </w:p>
        </w:tc>
        <w:tc>
          <w:tcPr>
            <w:tcW w:w="1244" w:type="dxa"/>
          </w:tcPr>
          <w:p w:rsidR="003F172D" w:rsidRPr="00026D80" w:rsidRDefault="003F172D" w:rsidP="00A43034">
            <w:pPr>
              <w:jc w:val="right"/>
              <w:rPr>
                <w:rFonts w:ascii="Times New Roman" w:hAnsi="Times New Roman" w:cs="Times New Roman"/>
                <w:sz w:val="28"/>
                <w:szCs w:val="28"/>
              </w:rPr>
            </w:pPr>
            <w:r w:rsidRPr="00026D80">
              <w:rPr>
                <w:rFonts w:ascii="Times New Roman" w:hAnsi="Times New Roman" w:cs="Times New Roman"/>
                <w:sz w:val="28"/>
                <w:szCs w:val="28"/>
              </w:rPr>
              <w:t>310 734</w:t>
            </w:r>
          </w:p>
        </w:tc>
        <w:tc>
          <w:tcPr>
            <w:tcW w:w="1390" w:type="dxa"/>
          </w:tcPr>
          <w:p w:rsidR="003F172D" w:rsidRPr="00026D80" w:rsidRDefault="003F172D" w:rsidP="00A43034">
            <w:pPr>
              <w:spacing w:before="100" w:beforeAutospacing="1" w:after="100" w:afterAutospacing="1" w:line="288" w:lineRule="auto"/>
              <w:jc w:val="right"/>
              <w:rPr>
                <w:rFonts w:ascii="Times New Roman" w:hAnsi="Times New Roman" w:cs="Times New Roman"/>
                <w:sz w:val="28"/>
                <w:szCs w:val="28"/>
              </w:rPr>
            </w:pPr>
            <w:r w:rsidRPr="00026D80">
              <w:rPr>
                <w:rFonts w:ascii="Times New Roman" w:hAnsi="Times New Roman" w:cs="Times New Roman"/>
                <w:bCs/>
                <w:color w:val="000000"/>
                <w:sz w:val="28"/>
                <w:szCs w:val="28"/>
              </w:rPr>
              <w:t>1,4</w:t>
            </w:r>
          </w:p>
        </w:tc>
      </w:tr>
      <w:tr w:rsidR="003F172D" w:rsidRPr="008E2853" w:rsidTr="00026D80">
        <w:tc>
          <w:tcPr>
            <w:tcW w:w="1492" w:type="dxa"/>
          </w:tcPr>
          <w:p w:rsidR="003F172D" w:rsidRPr="00026D80" w:rsidRDefault="003F172D" w:rsidP="00A43034">
            <w:pPr>
              <w:spacing w:before="100" w:beforeAutospacing="1" w:after="100" w:afterAutospacing="1" w:line="288" w:lineRule="auto"/>
              <w:jc w:val="both"/>
              <w:rPr>
                <w:rFonts w:ascii="Times New Roman" w:hAnsi="Times New Roman" w:cs="Times New Roman"/>
                <w:b/>
                <w:sz w:val="28"/>
                <w:szCs w:val="28"/>
              </w:rPr>
            </w:pPr>
            <w:r w:rsidRPr="00026D80">
              <w:rPr>
                <w:rFonts w:ascii="Times New Roman" w:hAnsi="Times New Roman" w:cs="Times New Roman"/>
                <w:iCs/>
                <w:color w:val="000000"/>
                <w:sz w:val="28"/>
                <w:szCs w:val="28"/>
              </w:rPr>
              <w:t>Ventspils</w:t>
            </w:r>
          </w:p>
        </w:tc>
        <w:tc>
          <w:tcPr>
            <w:tcW w:w="1251" w:type="dxa"/>
          </w:tcPr>
          <w:p w:rsidR="003F172D" w:rsidRPr="00026D80" w:rsidRDefault="003F172D" w:rsidP="00A43034">
            <w:pPr>
              <w:spacing w:before="100" w:beforeAutospacing="1" w:after="100" w:afterAutospacing="1" w:line="288" w:lineRule="auto"/>
              <w:jc w:val="right"/>
              <w:rPr>
                <w:rFonts w:ascii="Times New Roman" w:hAnsi="Times New Roman" w:cs="Times New Roman"/>
                <w:sz w:val="28"/>
                <w:szCs w:val="28"/>
              </w:rPr>
            </w:pPr>
            <w:r w:rsidRPr="00026D80">
              <w:rPr>
                <w:rFonts w:ascii="Times New Roman" w:hAnsi="Times New Roman" w:cs="Times New Roman"/>
                <w:color w:val="000000"/>
                <w:sz w:val="28"/>
                <w:szCs w:val="28"/>
              </w:rPr>
              <w:t xml:space="preserve">436 809 </w:t>
            </w:r>
          </w:p>
        </w:tc>
        <w:tc>
          <w:tcPr>
            <w:tcW w:w="1244" w:type="dxa"/>
          </w:tcPr>
          <w:p w:rsidR="003F172D" w:rsidRPr="00026D80" w:rsidRDefault="003F172D" w:rsidP="00A43034">
            <w:pPr>
              <w:jc w:val="right"/>
              <w:rPr>
                <w:rFonts w:ascii="Times New Roman" w:hAnsi="Times New Roman" w:cs="Times New Roman"/>
                <w:sz w:val="28"/>
                <w:szCs w:val="28"/>
              </w:rPr>
            </w:pPr>
            <w:r w:rsidRPr="00026D80">
              <w:rPr>
                <w:rFonts w:ascii="Times New Roman" w:hAnsi="Times New Roman" w:cs="Times New Roman"/>
                <w:sz w:val="28"/>
                <w:szCs w:val="28"/>
              </w:rPr>
              <w:t>498 275</w:t>
            </w:r>
          </w:p>
        </w:tc>
        <w:tc>
          <w:tcPr>
            <w:tcW w:w="1375" w:type="dxa"/>
          </w:tcPr>
          <w:p w:rsidR="003F172D" w:rsidRPr="00026D80" w:rsidRDefault="003F172D" w:rsidP="00A43034">
            <w:pPr>
              <w:spacing w:before="100" w:beforeAutospacing="1" w:after="100" w:afterAutospacing="1" w:line="288" w:lineRule="auto"/>
              <w:jc w:val="right"/>
              <w:rPr>
                <w:rFonts w:ascii="Times New Roman" w:hAnsi="Times New Roman" w:cs="Times New Roman"/>
                <w:sz w:val="28"/>
                <w:szCs w:val="28"/>
              </w:rPr>
            </w:pPr>
            <w:r w:rsidRPr="00026D80">
              <w:rPr>
                <w:rFonts w:ascii="Times New Roman" w:hAnsi="Times New Roman" w:cs="Times New Roman"/>
                <w:bCs/>
                <w:color w:val="000000"/>
                <w:sz w:val="28"/>
                <w:szCs w:val="28"/>
              </w:rPr>
              <w:t>2,5</w:t>
            </w:r>
          </w:p>
        </w:tc>
        <w:tc>
          <w:tcPr>
            <w:tcW w:w="1291" w:type="dxa"/>
          </w:tcPr>
          <w:p w:rsidR="003F172D" w:rsidRPr="00026D80" w:rsidRDefault="003F172D" w:rsidP="00A43034">
            <w:pPr>
              <w:spacing w:before="100" w:beforeAutospacing="1" w:after="100" w:afterAutospacing="1" w:line="288" w:lineRule="auto"/>
              <w:jc w:val="right"/>
              <w:rPr>
                <w:rFonts w:ascii="Times New Roman" w:hAnsi="Times New Roman" w:cs="Times New Roman"/>
                <w:sz w:val="28"/>
                <w:szCs w:val="28"/>
              </w:rPr>
            </w:pPr>
            <w:r w:rsidRPr="00026D80">
              <w:rPr>
                <w:rFonts w:ascii="Times New Roman" w:hAnsi="Times New Roman" w:cs="Times New Roman"/>
                <w:color w:val="000000"/>
                <w:sz w:val="28"/>
                <w:szCs w:val="28"/>
              </w:rPr>
              <w:t xml:space="preserve">461 999 </w:t>
            </w:r>
          </w:p>
        </w:tc>
        <w:tc>
          <w:tcPr>
            <w:tcW w:w="1244" w:type="dxa"/>
          </w:tcPr>
          <w:p w:rsidR="003F172D" w:rsidRPr="00026D80" w:rsidRDefault="003F172D" w:rsidP="00A43034">
            <w:pPr>
              <w:jc w:val="right"/>
              <w:rPr>
                <w:rFonts w:ascii="Times New Roman" w:hAnsi="Times New Roman" w:cs="Times New Roman"/>
                <w:sz w:val="28"/>
                <w:szCs w:val="28"/>
              </w:rPr>
            </w:pPr>
            <w:r w:rsidRPr="00026D80">
              <w:rPr>
                <w:rFonts w:ascii="Times New Roman" w:hAnsi="Times New Roman" w:cs="Times New Roman"/>
                <w:sz w:val="28"/>
                <w:szCs w:val="28"/>
              </w:rPr>
              <w:t>529 403</w:t>
            </w:r>
          </w:p>
        </w:tc>
        <w:tc>
          <w:tcPr>
            <w:tcW w:w="1390" w:type="dxa"/>
          </w:tcPr>
          <w:p w:rsidR="003F172D" w:rsidRPr="00026D80" w:rsidRDefault="003F172D" w:rsidP="00A43034">
            <w:pPr>
              <w:spacing w:before="100" w:beforeAutospacing="1" w:after="100" w:afterAutospacing="1" w:line="288" w:lineRule="auto"/>
              <w:jc w:val="right"/>
              <w:rPr>
                <w:rFonts w:ascii="Times New Roman" w:hAnsi="Times New Roman" w:cs="Times New Roman"/>
                <w:sz w:val="28"/>
                <w:szCs w:val="28"/>
              </w:rPr>
            </w:pPr>
            <w:r w:rsidRPr="00026D80">
              <w:rPr>
                <w:rFonts w:ascii="Times New Roman" w:hAnsi="Times New Roman" w:cs="Times New Roman"/>
                <w:bCs/>
                <w:color w:val="000000"/>
                <w:sz w:val="28"/>
                <w:szCs w:val="28"/>
              </w:rPr>
              <w:t>2,4</w:t>
            </w:r>
          </w:p>
        </w:tc>
      </w:tr>
    </w:tbl>
    <w:p w:rsidR="003F172D" w:rsidRPr="00A47200" w:rsidRDefault="0076695C" w:rsidP="00A47200">
      <w:pPr>
        <w:spacing w:before="100" w:beforeAutospacing="1" w:after="100" w:afterAutospacing="1" w:line="240" w:lineRule="auto"/>
        <w:ind w:firstLine="720"/>
        <w:jc w:val="both"/>
        <w:rPr>
          <w:rFonts w:ascii="Times New Roman" w:hAnsi="Times New Roman" w:cs="Times New Roman"/>
          <w:sz w:val="28"/>
          <w:szCs w:val="28"/>
        </w:rPr>
      </w:pPr>
      <w:r w:rsidRPr="00A47200">
        <w:rPr>
          <w:rFonts w:ascii="Times New Roman" w:hAnsi="Times New Roman" w:cs="Times New Roman"/>
          <w:sz w:val="28"/>
          <w:szCs w:val="28"/>
        </w:rPr>
        <w:t>Lai</w:t>
      </w:r>
      <w:r w:rsidR="003F172D" w:rsidRPr="00A47200">
        <w:rPr>
          <w:rFonts w:ascii="Times New Roman" w:hAnsi="Times New Roman" w:cs="Times New Roman"/>
          <w:sz w:val="28"/>
          <w:szCs w:val="28"/>
        </w:rPr>
        <w:t xml:space="preserve"> varētu iz</w:t>
      </w:r>
      <w:r w:rsidRPr="00A47200">
        <w:rPr>
          <w:rFonts w:ascii="Times New Roman" w:hAnsi="Times New Roman" w:cs="Times New Roman"/>
          <w:sz w:val="28"/>
          <w:szCs w:val="28"/>
        </w:rPr>
        <w:t>vērtēt</w:t>
      </w:r>
      <w:r w:rsidR="003F172D" w:rsidRPr="00A47200">
        <w:rPr>
          <w:rFonts w:ascii="Times New Roman" w:hAnsi="Times New Roman" w:cs="Times New Roman"/>
          <w:sz w:val="28"/>
          <w:szCs w:val="28"/>
        </w:rPr>
        <w:t xml:space="preserve"> iemeslus, kas ietekmē eksperimentālajā aprēķinā iegūto vērtību precizitāti, turpmāk ir aprakstīta šo rādītāju ieguves </w:t>
      </w:r>
      <w:r w:rsidR="009B0E1B" w:rsidRPr="00A47200">
        <w:rPr>
          <w:rFonts w:ascii="Times New Roman" w:hAnsi="Times New Roman" w:cs="Times New Roman"/>
          <w:sz w:val="28"/>
          <w:szCs w:val="28"/>
        </w:rPr>
        <w:t>kārtība</w:t>
      </w:r>
      <w:r w:rsidR="003F172D" w:rsidRPr="00A47200">
        <w:rPr>
          <w:rFonts w:ascii="Times New Roman" w:hAnsi="Times New Roman" w:cs="Times New Roman"/>
          <w:sz w:val="28"/>
          <w:szCs w:val="28"/>
        </w:rPr>
        <w:t>.</w:t>
      </w:r>
    </w:p>
    <w:p w:rsidR="004216F3" w:rsidRPr="00A47200" w:rsidRDefault="004216F3" w:rsidP="00A47200">
      <w:pPr>
        <w:spacing w:before="100" w:beforeAutospacing="1" w:after="100" w:afterAutospacing="1" w:line="240" w:lineRule="auto"/>
        <w:jc w:val="center"/>
        <w:rPr>
          <w:rFonts w:ascii="Times New Roman" w:hAnsi="Times New Roman" w:cs="Times New Roman"/>
          <w:sz w:val="28"/>
          <w:szCs w:val="28"/>
          <w:u w:val="single"/>
        </w:rPr>
      </w:pPr>
      <w:r w:rsidRPr="00A47200">
        <w:rPr>
          <w:rFonts w:ascii="Times New Roman" w:hAnsi="Times New Roman" w:cs="Times New Roman"/>
          <w:sz w:val="28"/>
          <w:szCs w:val="28"/>
          <w:u w:val="single"/>
        </w:rPr>
        <w:t>3.1.</w:t>
      </w:r>
      <w:r w:rsidR="0029030E" w:rsidRPr="00A47200">
        <w:rPr>
          <w:rFonts w:ascii="Times New Roman" w:hAnsi="Times New Roman" w:cs="Times New Roman"/>
          <w:sz w:val="28"/>
          <w:szCs w:val="28"/>
          <w:u w:val="single"/>
        </w:rPr>
        <w:t>1.</w:t>
      </w:r>
      <w:r w:rsidRPr="00A47200">
        <w:rPr>
          <w:rFonts w:ascii="Times New Roman" w:hAnsi="Times New Roman" w:cs="Times New Roman"/>
          <w:sz w:val="28"/>
          <w:szCs w:val="28"/>
          <w:u w:val="single"/>
        </w:rPr>
        <w:t xml:space="preserve"> </w:t>
      </w:r>
      <w:r w:rsidR="00935820" w:rsidRPr="00A47200">
        <w:rPr>
          <w:rFonts w:ascii="Times New Roman" w:hAnsi="Times New Roman" w:cs="Times New Roman"/>
          <w:sz w:val="28"/>
          <w:szCs w:val="28"/>
          <w:u w:val="single"/>
        </w:rPr>
        <w:t>Statistiskā informācija par uzņēmumu struktūru</w:t>
      </w:r>
    </w:p>
    <w:p w:rsidR="000F66D7" w:rsidRPr="00A47200" w:rsidRDefault="00B468B9" w:rsidP="00A47200">
      <w:pPr>
        <w:spacing w:before="100" w:beforeAutospacing="1" w:after="100" w:afterAutospacing="1" w:line="240" w:lineRule="auto"/>
        <w:ind w:firstLine="720"/>
        <w:jc w:val="both"/>
        <w:rPr>
          <w:rFonts w:ascii="Times New Roman" w:hAnsi="Times New Roman" w:cs="Times New Roman"/>
          <w:sz w:val="28"/>
          <w:szCs w:val="28"/>
        </w:rPr>
      </w:pPr>
      <w:r w:rsidRPr="00A47200">
        <w:rPr>
          <w:rFonts w:ascii="Times New Roman" w:hAnsi="Times New Roman" w:cs="Times New Roman"/>
          <w:sz w:val="28"/>
          <w:szCs w:val="28"/>
        </w:rPr>
        <w:t>Svarīgs</w:t>
      </w:r>
      <w:r w:rsidR="008570F3" w:rsidRPr="00A47200">
        <w:rPr>
          <w:rFonts w:ascii="Times New Roman" w:hAnsi="Times New Roman" w:cs="Times New Roman"/>
          <w:sz w:val="28"/>
          <w:szCs w:val="28"/>
        </w:rPr>
        <w:t xml:space="preserve"> priekšnoteikums</w:t>
      </w:r>
      <w:r w:rsidR="000F66D7" w:rsidRPr="00A47200">
        <w:rPr>
          <w:rFonts w:ascii="Times New Roman" w:hAnsi="Times New Roman" w:cs="Times New Roman"/>
          <w:sz w:val="28"/>
          <w:szCs w:val="28"/>
        </w:rPr>
        <w:t xml:space="preserve"> rep</w:t>
      </w:r>
      <w:r w:rsidR="008570F3" w:rsidRPr="00A47200">
        <w:rPr>
          <w:rFonts w:ascii="Times New Roman" w:hAnsi="Times New Roman" w:cs="Times New Roman"/>
          <w:sz w:val="28"/>
          <w:szCs w:val="28"/>
        </w:rPr>
        <w:t>ublikas pils</w:t>
      </w:r>
      <w:r w:rsidR="00F25949" w:rsidRPr="00A47200">
        <w:rPr>
          <w:rFonts w:ascii="Times New Roman" w:hAnsi="Times New Roman" w:cs="Times New Roman"/>
          <w:sz w:val="28"/>
          <w:szCs w:val="28"/>
        </w:rPr>
        <w:t>ētas (vai reģiona)</w:t>
      </w:r>
      <w:r w:rsidR="008570F3" w:rsidRPr="00A47200">
        <w:rPr>
          <w:rFonts w:ascii="Times New Roman" w:hAnsi="Times New Roman" w:cs="Times New Roman"/>
          <w:sz w:val="28"/>
          <w:szCs w:val="28"/>
        </w:rPr>
        <w:t xml:space="preserve"> PV aprēķina nodrošināšanai ir atbil</w:t>
      </w:r>
      <w:r w:rsidR="006F4DC0" w:rsidRPr="00A47200">
        <w:rPr>
          <w:rFonts w:ascii="Times New Roman" w:hAnsi="Times New Roman" w:cs="Times New Roman"/>
          <w:sz w:val="28"/>
          <w:szCs w:val="28"/>
        </w:rPr>
        <w:t>stošas detalizācijas statisti</w:t>
      </w:r>
      <w:r w:rsidR="00B97FD9" w:rsidRPr="00A47200">
        <w:rPr>
          <w:rFonts w:ascii="Times New Roman" w:hAnsi="Times New Roman" w:cs="Times New Roman"/>
          <w:sz w:val="28"/>
          <w:szCs w:val="28"/>
        </w:rPr>
        <w:t>k</w:t>
      </w:r>
      <w:r w:rsidR="006F4DC0" w:rsidRPr="00A47200">
        <w:rPr>
          <w:rFonts w:ascii="Times New Roman" w:hAnsi="Times New Roman" w:cs="Times New Roman"/>
          <w:sz w:val="28"/>
          <w:szCs w:val="28"/>
        </w:rPr>
        <w:t>as</w:t>
      </w:r>
      <w:r w:rsidR="00B97FD9" w:rsidRPr="00A47200">
        <w:rPr>
          <w:rFonts w:ascii="Times New Roman" w:hAnsi="Times New Roman" w:cs="Times New Roman"/>
          <w:sz w:val="28"/>
          <w:szCs w:val="28"/>
        </w:rPr>
        <w:t xml:space="preserve"> </w:t>
      </w:r>
      <w:proofErr w:type="gramStart"/>
      <w:r w:rsidR="00B97FD9" w:rsidRPr="00A47200">
        <w:rPr>
          <w:rFonts w:ascii="Times New Roman" w:hAnsi="Times New Roman" w:cs="Times New Roman"/>
          <w:sz w:val="28"/>
          <w:szCs w:val="28"/>
        </w:rPr>
        <w:t>uzņēmumu reģistrs</w:t>
      </w:r>
      <w:proofErr w:type="gramEnd"/>
      <w:r w:rsidR="007A52BE" w:rsidRPr="00A47200">
        <w:rPr>
          <w:rFonts w:ascii="Times New Roman" w:hAnsi="Times New Roman" w:cs="Times New Roman"/>
          <w:sz w:val="28"/>
          <w:szCs w:val="28"/>
        </w:rPr>
        <w:t xml:space="preserve"> (turpmāk</w:t>
      </w:r>
      <w:r w:rsidR="008570F3" w:rsidRPr="00A47200">
        <w:rPr>
          <w:rFonts w:ascii="Times New Roman" w:hAnsi="Times New Roman" w:cs="Times New Roman"/>
          <w:sz w:val="28"/>
          <w:szCs w:val="28"/>
        </w:rPr>
        <w:t xml:space="preserve"> – SUR).</w:t>
      </w:r>
      <w:r w:rsidR="00F25949" w:rsidRPr="00A47200">
        <w:rPr>
          <w:rFonts w:ascii="Times New Roman" w:hAnsi="Times New Roman" w:cs="Times New Roman"/>
          <w:sz w:val="28"/>
          <w:szCs w:val="28"/>
        </w:rPr>
        <w:t xml:space="preserve"> Latvijā SUR uztur P</w:t>
      </w:r>
      <w:r w:rsidR="0019758A" w:rsidRPr="00A47200">
        <w:rPr>
          <w:rFonts w:ascii="Times New Roman" w:hAnsi="Times New Roman" w:cs="Times New Roman"/>
          <w:sz w:val="28"/>
          <w:szCs w:val="28"/>
        </w:rPr>
        <w:t>ārvalde</w:t>
      </w:r>
      <w:r w:rsidR="00F25949" w:rsidRPr="00A47200">
        <w:rPr>
          <w:rFonts w:ascii="Times New Roman" w:hAnsi="Times New Roman" w:cs="Times New Roman"/>
          <w:sz w:val="28"/>
          <w:szCs w:val="28"/>
        </w:rPr>
        <w:t>, kā datu avotus izmantojot informāciju, kas regulāri tiek iegūta no Latvijas Uzņēmumu reģistra, no Valsts ieņēmumu dienesta, statistikas pārskatiem u.c. avotiem.</w:t>
      </w:r>
      <w:r w:rsidR="005728BD" w:rsidRPr="00A47200">
        <w:rPr>
          <w:rFonts w:ascii="Times New Roman" w:hAnsi="Times New Roman" w:cs="Times New Roman"/>
          <w:sz w:val="28"/>
          <w:szCs w:val="28"/>
        </w:rPr>
        <w:t xml:space="preserve"> Pilnu informāciju par SUR uzturēšanu skat. </w:t>
      </w:r>
      <w:r w:rsidR="007004E2" w:rsidRPr="00A47200">
        <w:rPr>
          <w:rFonts w:ascii="Times New Roman" w:hAnsi="Times New Roman" w:cs="Times New Roman"/>
          <w:sz w:val="28"/>
          <w:szCs w:val="28"/>
        </w:rPr>
        <w:t>2</w:t>
      </w:r>
      <w:r w:rsidR="005728BD" w:rsidRPr="00A47200">
        <w:rPr>
          <w:rFonts w:ascii="Times New Roman" w:hAnsi="Times New Roman" w:cs="Times New Roman"/>
          <w:sz w:val="28"/>
          <w:szCs w:val="28"/>
        </w:rPr>
        <w:t>.pielikumā.</w:t>
      </w:r>
    </w:p>
    <w:p w:rsidR="00A51B08" w:rsidRPr="00A47200" w:rsidRDefault="00441B70" w:rsidP="00A47200">
      <w:pPr>
        <w:spacing w:before="100" w:beforeAutospacing="1" w:after="0" w:line="240" w:lineRule="auto"/>
        <w:ind w:firstLine="720"/>
        <w:jc w:val="both"/>
        <w:rPr>
          <w:rFonts w:ascii="Times New Roman" w:hAnsi="Times New Roman" w:cs="Times New Roman"/>
          <w:sz w:val="28"/>
          <w:szCs w:val="28"/>
        </w:rPr>
      </w:pPr>
      <w:r w:rsidRPr="00A47200">
        <w:rPr>
          <w:rFonts w:ascii="Times New Roman" w:hAnsi="Times New Roman" w:cs="Times New Roman"/>
          <w:sz w:val="28"/>
          <w:szCs w:val="28"/>
        </w:rPr>
        <w:t xml:space="preserve">Saskaņā ar </w:t>
      </w:r>
      <w:r w:rsidR="00C80680" w:rsidRPr="00A47200">
        <w:rPr>
          <w:rFonts w:ascii="Times New Roman" w:hAnsi="Times New Roman" w:cs="Times New Roman"/>
          <w:sz w:val="28"/>
          <w:szCs w:val="28"/>
        </w:rPr>
        <w:t>r</w:t>
      </w:r>
      <w:r w:rsidRPr="00A47200">
        <w:rPr>
          <w:rFonts w:ascii="Times New Roman" w:hAnsi="Times New Roman" w:cs="Times New Roman"/>
          <w:iCs/>
          <w:sz w:val="28"/>
          <w:szCs w:val="28"/>
        </w:rPr>
        <w:t xml:space="preserve">egulas par kopēju </w:t>
      </w:r>
      <w:proofErr w:type="gramStart"/>
      <w:r w:rsidRPr="00A47200">
        <w:rPr>
          <w:rFonts w:ascii="Times New Roman" w:hAnsi="Times New Roman" w:cs="Times New Roman"/>
          <w:iCs/>
          <w:sz w:val="28"/>
          <w:szCs w:val="28"/>
        </w:rPr>
        <w:t>uzņēmumu reģistru</w:t>
      </w:r>
      <w:proofErr w:type="gramEnd"/>
      <w:r w:rsidRPr="00A47200">
        <w:rPr>
          <w:rFonts w:ascii="Times New Roman" w:hAnsi="Times New Roman" w:cs="Times New Roman"/>
          <w:iCs/>
          <w:sz w:val="28"/>
          <w:szCs w:val="28"/>
        </w:rPr>
        <w:t xml:space="preserve"> sistēmu statistikas vajadzībām</w:t>
      </w:r>
      <w:r w:rsidR="00BA16EB" w:rsidRPr="00A47200">
        <w:rPr>
          <w:rStyle w:val="FootnoteReference"/>
          <w:rFonts w:ascii="Times New Roman" w:hAnsi="Times New Roman" w:cs="Times New Roman"/>
          <w:sz w:val="28"/>
          <w:szCs w:val="28"/>
        </w:rPr>
        <w:footnoteReference w:id="7"/>
      </w:r>
      <w:r w:rsidRPr="00A47200">
        <w:rPr>
          <w:rFonts w:ascii="Times New Roman" w:hAnsi="Times New Roman" w:cs="Times New Roman"/>
          <w:iCs/>
          <w:sz w:val="28"/>
          <w:szCs w:val="28"/>
        </w:rPr>
        <w:t xml:space="preserve"> 3.pantu</w:t>
      </w:r>
      <w:r w:rsidR="00BA16EB" w:rsidRPr="00A47200">
        <w:rPr>
          <w:rFonts w:ascii="Times New Roman" w:hAnsi="Times New Roman" w:cs="Times New Roman"/>
          <w:iCs/>
          <w:sz w:val="28"/>
          <w:szCs w:val="28"/>
        </w:rPr>
        <w:t>,</w:t>
      </w:r>
      <w:r w:rsidRPr="00A47200">
        <w:rPr>
          <w:rFonts w:ascii="Times New Roman" w:hAnsi="Times New Roman" w:cs="Times New Roman"/>
          <w:sz w:val="28"/>
          <w:szCs w:val="28"/>
        </w:rPr>
        <w:t xml:space="preserve"> SUR iekļauj</w:t>
      </w:r>
      <w:r w:rsidR="008C0BFB" w:rsidRPr="00A47200">
        <w:rPr>
          <w:rFonts w:ascii="Times New Roman" w:hAnsi="Times New Roman" w:cs="Times New Roman"/>
          <w:sz w:val="28"/>
          <w:szCs w:val="28"/>
        </w:rPr>
        <w:t xml:space="preserve"> </w:t>
      </w:r>
      <w:r w:rsidRPr="00A47200">
        <w:rPr>
          <w:rFonts w:ascii="Times New Roman" w:hAnsi="Times New Roman" w:cs="Times New Roman"/>
          <w:sz w:val="28"/>
          <w:szCs w:val="28"/>
        </w:rPr>
        <w:t>visus uzņēmumus, kas veic saimniecisko darbību, kuri ietekmē</w:t>
      </w:r>
      <w:r w:rsidR="00A51B08" w:rsidRPr="00A47200">
        <w:rPr>
          <w:rFonts w:ascii="Times New Roman" w:hAnsi="Times New Roman" w:cs="Times New Roman"/>
          <w:sz w:val="28"/>
          <w:szCs w:val="28"/>
        </w:rPr>
        <w:t xml:space="preserve"> </w:t>
      </w:r>
      <w:r w:rsidR="00137D9D" w:rsidRPr="00A47200">
        <w:rPr>
          <w:rFonts w:ascii="Times New Roman" w:hAnsi="Times New Roman" w:cs="Times New Roman"/>
          <w:sz w:val="28"/>
          <w:szCs w:val="28"/>
        </w:rPr>
        <w:t>iekšzemes</w:t>
      </w:r>
      <w:r w:rsidR="00A51B08" w:rsidRPr="00A47200">
        <w:rPr>
          <w:rFonts w:ascii="Times New Roman" w:hAnsi="Times New Roman" w:cs="Times New Roman"/>
          <w:sz w:val="28"/>
          <w:szCs w:val="28"/>
        </w:rPr>
        <w:t xml:space="preserve"> kopproduktu</w:t>
      </w:r>
      <w:r w:rsidRPr="00A47200">
        <w:rPr>
          <w:rFonts w:ascii="Times New Roman" w:hAnsi="Times New Roman" w:cs="Times New Roman"/>
          <w:sz w:val="28"/>
          <w:szCs w:val="28"/>
        </w:rPr>
        <w:t>, un to vietējās vienības</w:t>
      </w:r>
      <w:r w:rsidR="00EA4AC7" w:rsidRPr="00A47200">
        <w:rPr>
          <w:rStyle w:val="FootnoteReference"/>
          <w:rFonts w:ascii="Times New Roman" w:hAnsi="Times New Roman" w:cs="Times New Roman"/>
          <w:sz w:val="28"/>
          <w:szCs w:val="28"/>
        </w:rPr>
        <w:footnoteReference w:id="8"/>
      </w:r>
      <w:r w:rsidRPr="00A47200">
        <w:rPr>
          <w:rFonts w:ascii="Times New Roman" w:hAnsi="Times New Roman" w:cs="Times New Roman"/>
          <w:sz w:val="28"/>
          <w:szCs w:val="28"/>
        </w:rPr>
        <w:t xml:space="preserve"> (</w:t>
      </w:r>
      <w:r w:rsidR="00EA4AC7" w:rsidRPr="00A47200">
        <w:rPr>
          <w:rFonts w:ascii="Times New Roman" w:hAnsi="Times New Roman" w:cs="Times New Roman"/>
          <w:sz w:val="28"/>
          <w:szCs w:val="28"/>
        </w:rPr>
        <w:t xml:space="preserve">turpmāk - </w:t>
      </w:r>
      <w:r w:rsidRPr="00A47200">
        <w:rPr>
          <w:rFonts w:ascii="Times New Roman" w:hAnsi="Times New Roman" w:cs="Times New Roman"/>
          <w:sz w:val="28"/>
          <w:szCs w:val="28"/>
        </w:rPr>
        <w:t>VV)</w:t>
      </w:r>
      <w:r w:rsidR="00A51B08" w:rsidRPr="00A47200">
        <w:rPr>
          <w:rFonts w:ascii="Times New Roman" w:hAnsi="Times New Roman" w:cs="Times New Roman"/>
          <w:sz w:val="28"/>
          <w:szCs w:val="28"/>
        </w:rPr>
        <w:t>, juridiskās vienības, kas ir šajos uzņēmumos un uzņēmumu grupas</w:t>
      </w:r>
      <w:r w:rsidR="005D7488" w:rsidRPr="00A47200">
        <w:rPr>
          <w:rStyle w:val="FootnoteReference"/>
          <w:rFonts w:ascii="Times New Roman" w:hAnsi="Times New Roman" w:cs="Times New Roman"/>
          <w:sz w:val="28"/>
          <w:szCs w:val="28"/>
        </w:rPr>
        <w:footnoteReference w:id="9"/>
      </w:r>
      <w:r w:rsidR="00A51B08" w:rsidRPr="00A47200">
        <w:rPr>
          <w:rFonts w:ascii="Times New Roman" w:hAnsi="Times New Roman" w:cs="Times New Roman"/>
          <w:sz w:val="28"/>
          <w:szCs w:val="28"/>
        </w:rPr>
        <w:t>.</w:t>
      </w:r>
    </w:p>
    <w:p w:rsidR="00A51B08" w:rsidRPr="00A47200" w:rsidRDefault="00A51B08" w:rsidP="00A47200">
      <w:pPr>
        <w:spacing w:before="100" w:beforeAutospacing="1" w:after="0" w:line="240" w:lineRule="auto"/>
        <w:ind w:firstLine="720"/>
        <w:jc w:val="both"/>
        <w:rPr>
          <w:rFonts w:ascii="Times New Roman" w:hAnsi="Times New Roman" w:cs="Times New Roman"/>
          <w:sz w:val="28"/>
          <w:szCs w:val="28"/>
        </w:rPr>
      </w:pPr>
      <w:r w:rsidRPr="00A47200">
        <w:rPr>
          <w:rFonts w:ascii="Times New Roman" w:hAnsi="Times New Roman" w:cs="Times New Roman"/>
          <w:sz w:val="28"/>
          <w:szCs w:val="28"/>
        </w:rPr>
        <w:t>Papildus, lai nodrošinātu salīdzināmas statistiskās informācijas nodrošināšanu starp dažādām uzņēmējdarbības statistikas jomām par statistikas vienībām, kas pilnībā vai daļēji veic saimniecisko darbību, SU</w:t>
      </w:r>
      <w:r w:rsidR="00225561" w:rsidRPr="00A47200">
        <w:rPr>
          <w:rFonts w:ascii="Times New Roman" w:hAnsi="Times New Roman" w:cs="Times New Roman"/>
          <w:sz w:val="28"/>
          <w:szCs w:val="28"/>
        </w:rPr>
        <w:t xml:space="preserve">R tiek uzturēta informācija par </w:t>
      </w:r>
      <w:r w:rsidRPr="00A47200">
        <w:rPr>
          <w:rFonts w:ascii="Times New Roman" w:hAnsi="Times New Roman" w:cs="Times New Roman"/>
          <w:sz w:val="28"/>
          <w:szCs w:val="28"/>
        </w:rPr>
        <w:t>darbības veida vienībām (</w:t>
      </w:r>
      <w:r w:rsidR="007C038D" w:rsidRPr="00A47200">
        <w:rPr>
          <w:rFonts w:ascii="Times New Roman" w:hAnsi="Times New Roman" w:cs="Times New Roman"/>
          <w:sz w:val="28"/>
          <w:szCs w:val="28"/>
        </w:rPr>
        <w:t xml:space="preserve">turpmāk - </w:t>
      </w:r>
      <w:r w:rsidRPr="00A47200">
        <w:rPr>
          <w:rFonts w:ascii="Times New Roman" w:hAnsi="Times New Roman" w:cs="Times New Roman"/>
          <w:sz w:val="28"/>
          <w:szCs w:val="28"/>
        </w:rPr>
        <w:t>DVV)</w:t>
      </w:r>
      <w:r w:rsidR="00225561" w:rsidRPr="00A47200">
        <w:rPr>
          <w:rFonts w:ascii="Times New Roman" w:hAnsi="Times New Roman" w:cs="Times New Roman"/>
          <w:sz w:val="28"/>
          <w:szCs w:val="28"/>
        </w:rPr>
        <w:t xml:space="preserve"> un </w:t>
      </w:r>
      <w:r w:rsidRPr="00A47200">
        <w:rPr>
          <w:rFonts w:ascii="Times New Roman" w:hAnsi="Times New Roman" w:cs="Times New Roman"/>
          <w:sz w:val="28"/>
          <w:szCs w:val="28"/>
        </w:rPr>
        <w:t>VDVV.</w:t>
      </w:r>
      <w:r w:rsidR="009D782A" w:rsidRPr="00A47200">
        <w:rPr>
          <w:rFonts w:ascii="Times New Roman" w:hAnsi="Times New Roman" w:cs="Times New Roman"/>
          <w:sz w:val="28"/>
          <w:szCs w:val="28"/>
        </w:rPr>
        <w:t xml:space="preserve"> No kopējā ekonomiski aktīvo uzņēmumu skaita 2012.gadā 11% uzņēmumu ir reģistrētas aktīvas VDVV, kurām ir SUR izdalīts vairāk kā viens darbības veids (ieskaitot palīgdarbības) un ir vairāk nekā viena VDVV. Vairāk kā puse no šiem 11% uzņēmumu tiek apsekoti, izmantojot statistikas pārskatus. Pārējie aptuveni 3,8 tūkstoši ekonomiski aktīvo uzņēmumu, par kuriem ir zināms, ka tiem </w:t>
      </w:r>
      <w:proofErr w:type="gramStart"/>
      <w:r w:rsidR="009D782A" w:rsidRPr="00A47200">
        <w:rPr>
          <w:rFonts w:ascii="Times New Roman" w:hAnsi="Times New Roman" w:cs="Times New Roman"/>
          <w:sz w:val="28"/>
          <w:szCs w:val="28"/>
        </w:rPr>
        <w:t>ir vairāk kā</w:t>
      </w:r>
      <w:proofErr w:type="gramEnd"/>
      <w:r w:rsidR="009D782A" w:rsidRPr="00A47200">
        <w:rPr>
          <w:rFonts w:ascii="Times New Roman" w:hAnsi="Times New Roman" w:cs="Times New Roman"/>
          <w:sz w:val="28"/>
          <w:szCs w:val="28"/>
        </w:rPr>
        <w:t xml:space="preserve"> viens darbības veids vairāk kā vienā teritorijā, apsekoti netiek, lai nepalielinātu mazo un vidējo uzņēmumu administratīvo slogu. Līdz ar to proporcionālajai metodei lietojamā galvenā kritērija (darbinieku skaita sadalījuma pa VDVV) noteikšanai ir jāveic aprēķini.</w:t>
      </w:r>
    </w:p>
    <w:p w:rsidR="009D782A" w:rsidRPr="00A47200" w:rsidRDefault="009D782A" w:rsidP="00A47200">
      <w:pPr>
        <w:pStyle w:val="Default"/>
        <w:spacing w:before="100" w:beforeAutospacing="1" w:after="100" w:afterAutospacing="1"/>
        <w:ind w:firstLine="720"/>
        <w:jc w:val="both"/>
        <w:rPr>
          <w:rFonts w:ascii="Times New Roman" w:hAnsi="Times New Roman" w:cs="Times New Roman"/>
          <w:color w:val="auto"/>
          <w:sz w:val="28"/>
          <w:szCs w:val="28"/>
        </w:rPr>
      </w:pPr>
      <w:r w:rsidRPr="00A47200">
        <w:rPr>
          <w:rFonts w:ascii="Times New Roman" w:hAnsi="Times New Roman" w:cs="Times New Roman"/>
          <w:color w:val="auto"/>
          <w:sz w:val="28"/>
          <w:szCs w:val="28"/>
        </w:rPr>
        <w:lastRenderedPageBreak/>
        <w:t>Republikas pilsētu PV aprēķinos izmantoti SUR dati par uzņēmumu un to VDVV atrašanās vietu (saskaņā ar Administratīvo teritoriju un teritoriālo vienību klasifikatoru (turpmāk - ATVK)), vidējo nodarbināto skaitu gadā, darbības veidu NACE 2.red. klašu līmenī.</w:t>
      </w:r>
    </w:p>
    <w:p w:rsidR="00441B70" w:rsidRPr="00A47200" w:rsidRDefault="00F25949" w:rsidP="00A47200">
      <w:pPr>
        <w:pStyle w:val="Text1"/>
        <w:spacing w:before="0" w:after="100" w:afterAutospacing="1"/>
        <w:ind w:left="0" w:firstLine="720"/>
        <w:rPr>
          <w:sz w:val="28"/>
          <w:szCs w:val="28"/>
        </w:rPr>
      </w:pPr>
      <w:r w:rsidRPr="00A47200">
        <w:rPr>
          <w:noProof/>
          <w:sz w:val="28"/>
          <w:szCs w:val="28"/>
        </w:rPr>
        <w:t xml:space="preserve">Ideālā gadījumā uzņēmuma informācijas sistēmai ir jāspēj norādīt vai aprēķināt katrai DVV vismaz </w:t>
      </w:r>
      <w:proofErr w:type="gramStart"/>
      <w:r w:rsidRPr="00A47200">
        <w:rPr>
          <w:sz w:val="28"/>
          <w:szCs w:val="28"/>
        </w:rPr>
        <w:t>ražošanas vērtību</w:t>
      </w:r>
      <w:proofErr w:type="gramEnd"/>
      <w:r w:rsidRPr="00A47200">
        <w:rPr>
          <w:sz w:val="28"/>
          <w:szCs w:val="28"/>
        </w:rPr>
        <w:t xml:space="preserve"> (izlaidi), starppatēriņu, darbaspēka izmaksas, pamatdarbības pārpalikumu un nodarbinātību, un bruto pamatkapitāla veidošanos, tomēr tas </w:t>
      </w:r>
      <w:r w:rsidR="003F172D" w:rsidRPr="00A47200">
        <w:rPr>
          <w:sz w:val="28"/>
          <w:szCs w:val="28"/>
        </w:rPr>
        <w:t xml:space="preserve">SUR </w:t>
      </w:r>
      <w:r w:rsidRPr="00A47200">
        <w:rPr>
          <w:sz w:val="28"/>
          <w:szCs w:val="28"/>
        </w:rPr>
        <w:t>netiek</w:t>
      </w:r>
      <w:r w:rsidR="00BC1302" w:rsidRPr="00A47200">
        <w:rPr>
          <w:sz w:val="28"/>
          <w:szCs w:val="28"/>
        </w:rPr>
        <w:t xml:space="preserve"> pilnībā nodrošināts, jo </w:t>
      </w:r>
      <w:r w:rsidRPr="00A47200">
        <w:rPr>
          <w:sz w:val="28"/>
          <w:szCs w:val="28"/>
        </w:rPr>
        <w:t xml:space="preserve">nacionālās likumdošanas prasības neparedz šādu </w:t>
      </w:r>
      <w:r w:rsidR="0063427C" w:rsidRPr="00A47200">
        <w:rPr>
          <w:sz w:val="28"/>
          <w:szCs w:val="28"/>
        </w:rPr>
        <w:t xml:space="preserve">grāmatvedības </w:t>
      </w:r>
      <w:r w:rsidRPr="00A47200">
        <w:rPr>
          <w:sz w:val="28"/>
          <w:szCs w:val="28"/>
        </w:rPr>
        <w:t>uzskaiti</w:t>
      </w:r>
      <w:r w:rsidR="007C038D" w:rsidRPr="00A47200">
        <w:rPr>
          <w:sz w:val="28"/>
          <w:szCs w:val="28"/>
        </w:rPr>
        <w:t>.</w:t>
      </w:r>
    </w:p>
    <w:p w:rsidR="00EA4AC7" w:rsidRPr="00A47200" w:rsidRDefault="00EA4AC7" w:rsidP="00A47200">
      <w:pPr>
        <w:pStyle w:val="Text1"/>
        <w:spacing w:after="100" w:afterAutospacing="1"/>
        <w:ind w:left="0" w:firstLine="720"/>
        <w:rPr>
          <w:sz w:val="28"/>
          <w:szCs w:val="28"/>
        </w:rPr>
      </w:pPr>
      <w:r w:rsidRPr="00A47200">
        <w:rPr>
          <w:sz w:val="28"/>
          <w:szCs w:val="28"/>
        </w:rPr>
        <w:t xml:space="preserve">Gada pārskatu likums nosaka grāmatvedības </w:t>
      </w:r>
      <w:r w:rsidR="00533CDC" w:rsidRPr="00A47200">
        <w:rPr>
          <w:sz w:val="28"/>
          <w:szCs w:val="28"/>
        </w:rPr>
        <w:t>uzskaiti</w:t>
      </w:r>
      <w:r w:rsidRPr="00A47200">
        <w:rPr>
          <w:sz w:val="28"/>
          <w:szCs w:val="28"/>
        </w:rPr>
        <w:t xml:space="preserve"> par sabiedrības darbību kopumā, pielikumos sniedzot apgrozījuma atšifrējumus pa darbības veidiem un ģeogrāfiskajiem tirgiem. Piemēram, uzņēmuma „A” kopējais apgrozījums ir 23 tūkst. </w:t>
      </w:r>
      <w:proofErr w:type="spellStart"/>
      <w:r w:rsidRPr="00A47200">
        <w:rPr>
          <w:sz w:val="28"/>
          <w:szCs w:val="28"/>
        </w:rPr>
        <w:t>euro</w:t>
      </w:r>
      <w:proofErr w:type="spellEnd"/>
      <w:r w:rsidRPr="00A47200">
        <w:rPr>
          <w:sz w:val="28"/>
          <w:szCs w:val="28"/>
        </w:rPr>
        <w:t xml:space="preserve">, no tā ieņēmumi no mēbeļu pārdošanas -10 tūkst. </w:t>
      </w:r>
      <w:proofErr w:type="spellStart"/>
      <w:r w:rsidRPr="00A47200">
        <w:rPr>
          <w:sz w:val="28"/>
          <w:szCs w:val="28"/>
        </w:rPr>
        <w:t>euro</w:t>
      </w:r>
      <w:proofErr w:type="spellEnd"/>
      <w:r w:rsidRPr="00A47200">
        <w:rPr>
          <w:sz w:val="28"/>
          <w:szCs w:val="28"/>
        </w:rPr>
        <w:t xml:space="preserve">, no zāģmateriāliem - 8 tūkst. </w:t>
      </w:r>
      <w:proofErr w:type="spellStart"/>
      <w:r w:rsidRPr="00A47200">
        <w:rPr>
          <w:sz w:val="28"/>
          <w:szCs w:val="28"/>
        </w:rPr>
        <w:t>euro</w:t>
      </w:r>
      <w:proofErr w:type="spellEnd"/>
      <w:r w:rsidRPr="00A47200">
        <w:rPr>
          <w:sz w:val="28"/>
          <w:szCs w:val="28"/>
        </w:rPr>
        <w:t xml:space="preserve">, dizaina pakalpojumi - 5 tūkst. </w:t>
      </w:r>
      <w:proofErr w:type="spellStart"/>
      <w:r w:rsidRPr="00A47200">
        <w:rPr>
          <w:sz w:val="28"/>
          <w:szCs w:val="28"/>
        </w:rPr>
        <w:t>euro</w:t>
      </w:r>
      <w:proofErr w:type="spellEnd"/>
      <w:r w:rsidRPr="00A47200">
        <w:rPr>
          <w:sz w:val="28"/>
          <w:szCs w:val="28"/>
        </w:rPr>
        <w:t xml:space="preserve">; dalījumā pa tirgiem - Latvija, ES, ārpus ES. Likums nenosaka prasību kārtot grāmatvedības uzskaiti tā, lai varētu norādīt vai aprēķināt katrai DVV (mēbeles, zāģmateriāli, dizaina pakalpojumi) ražošanas vērtību, starppatēriņu, darbaspēka izmaksas, pamatdarbības pārpalikumu un nodarbinātību, un bruto pamatkapitāla veidošanos. </w:t>
      </w:r>
    </w:p>
    <w:p w:rsidR="00F27CFD" w:rsidRPr="00A47200" w:rsidRDefault="00B1436E" w:rsidP="00A47200">
      <w:pPr>
        <w:pStyle w:val="Text1"/>
        <w:spacing w:before="0" w:after="100" w:afterAutospacing="1"/>
        <w:ind w:left="0" w:firstLine="720"/>
        <w:rPr>
          <w:sz w:val="28"/>
          <w:szCs w:val="28"/>
        </w:rPr>
      </w:pPr>
      <w:r w:rsidRPr="00A47200">
        <w:rPr>
          <w:sz w:val="28"/>
          <w:szCs w:val="28"/>
        </w:rPr>
        <w:t xml:space="preserve">Pamatojoties uz iepriekš minēto, </w:t>
      </w:r>
      <w:r w:rsidR="0078548D" w:rsidRPr="00A47200">
        <w:rPr>
          <w:sz w:val="28"/>
          <w:szCs w:val="28"/>
        </w:rPr>
        <w:t xml:space="preserve">var secināt, ka </w:t>
      </w:r>
      <w:r w:rsidR="005846CD" w:rsidRPr="00A47200">
        <w:rPr>
          <w:sz w:val="28"/>
          <w:szCs w:val="28"/>
        </w:rPr>
        <w:t>admi</w:t>
      </w:r>
      <w:r w:rsidR="00EA4AC7" w:rsidRPr="00A47200">
        <w:rPr>
          <w:sz w:val="28"/>
          <w:szCs w:val="28"/>
        </w:rPr>
        <w:t>nis</w:t>
      </w:r>
      <w:r w:rsidR="0078548D" w:rsidRPr="00A47200">
        <w:rPr>
          <w:sz w:val="28"/>
          <w:szCs w:val="28"/>
        </w:rPr>
        <w:t>tratīvajos datu avotos nepieciešamā</w:t>
      </w:r>
      <w:r w:rsidR="00114146" w:rsidRPr="00A47200">
        <w:rPr>
          <w:sz w:val="28"/>
          <w:szCs w:val="28"/>
        </w:rPr>
        <w:t xml:space="preserve"> informācija neeksistē</w:t>
      </w:r>
      <w:r w:rsidR="00E918C1" w:rsidRPr="00A47200">
        <w:rPr>
          <w:sz w:val="28"/>
          <w:szCs w:val="28"/>
        </w:rPr>
        <w:t xml:space="preserve"> vai ir </w:t>
      </w:r>
      <w:r w:rsidR="00331B4C" w:rsidRPr="00A47200">
        <w:rPr>
          <w:sz w:val="28"/>
          <w:szCs w:val="28"/>
        </w:rPr>
        <w:t>sarežģīti</w:t>
      </w:r>
      <w:r w:rsidR="00E918C1" w:rsidRPr="00A47200">
        <w:rPr>
          <w:sz w:val="28"/>
          <w:szCs w:val="28"/>
        </w:rPr>
        <w:t xml:space="preserve"> iegūstama</w:t>
      </w:r>
      <w:r w:rsidR="00114146" w:rsidRPr="00A47200">
        <w:rPr>
          <w:sz w:val="28"/>
          <w:szCs w:val="28"/>
        </w:rPr>
        <w:t>.</w:t>
      </w:r>
      <w:r w:rsidR="008A7634" w:rsidRPr="00A47200">
        <w:rPr>
          <w:sz w:val="28"/>
          <w:szCs w:val="28"/>
        </w:rPr>
        <w:t xml:space="preserve"> Jāatzīmē, ka</w:t>
      </w:r>
      <w:r w:rsidR="00CA4DC7" w:rsidRPr="00A47200">
        <w:rPr>
          <w:sz w:val="28"/>
          <w:szCs w:val="28"/>
        </w:rPr>
        <w:t xml:space="preserve"> Gada pārskatu likums un Gada pārskatu un konsolidēto gada pārskatu lik</w:t>
      </w:r>
      <w:r w:rsidR="000D3A93" w:rsidRPr="00A47200">
        <w:rPr>
          <w:sz w:val="28"/>
          <w:szCs w:val="28"/>
        </w:rPr>
        <w:t xml:space="preserve">uma projekts nosaka informāciju, kāda sabiedrībām ir jāsniedz detalizētākā veidā gada pārskata pielikumos, vienlaicīgi ar šiem tiesību aktiem nav noteikta konkrēta forma, kā jāsagatavo šie pielikumi. Līdz ar to tiek ierobežota pielikumos esošās informācijas izmantošana statistikas vajadzībām, t.i., to var izmantot tikai individuālu datu precizēšanai. </w:t>
      </w:r>
      <w:r w:rsidRPr="00A47200">
        <w:rPr>
          <w:sz w:val="28"/>
          <w:szCs w:val="28"/>
        </w:rPr>
        <w:t>Tā kā šai informācijai</w:t>
      </w:r>
      <w:r w:rsidR="000D3A93" w:rsidRPr="00A47200">
        <w:rPr>
          <w:sz w:val="28"/>
          <w:szCs w:val="28"/>
        </w:rPr>
        <w:t xml:space="preserve"> nav tehniski viendabīgs noform</w:t>
      </w:r>
      <w:r w:rsidRPr="00A47200">
        <w:rPr>
          <w:sz w:val="28"/>
          <w:szCs w:val="28"/>
        </w:rPr>
        <w:t xml:space="preserve">ējums, </w:t>
      </w:r>
      <w:r w:rsidR="000D3A93" w:rsidRPr="00A47200">
        <w:rPr>
          <w:sz w:val="28"/>
          <w:szCs w:val="28"/>
        </w:rPr>
        <w:t>to nav iespējams tehnoloģiski apstrādāt statistikas vajadzībām.</w:t>
      </w:r>
      <w:r w:rsidR="0078548D" w:rsidRPr="00A47200">
        <w:rPr>
          <w:sz w:val="28"/>
          <w:szCs w:val="28"/>
        </w:rPr>
        <w:t xml:space="preserve"> Turklāt, n</w:t>
      </w:r>
      <w:r w:rsidR="00F27CFD" w:rsidRPr="00A47200">
        <w:rPr>
          <w:sz w:val="28"/>
          <w:szCs w:val="28"/>
        </w:rPr>
        <w:t xml:space="preserve">epieciešamību gadījumos precizējot individuālus datus, Pārvalde ir konstatējusi, ka gada pārskatu pielikumos ne visas sabiedrības ir sniegušas </w:t>
      </w:r>
      <w:r w:rsidR="00CB4D64" w:rsidRPr="00A47200">
        <w:rPr>
          <w:sz w:val="28"/>
          <w:szCs w:val="28"/>
        </w:rPr>
        <w:t>informāciju, ko nosaka Gada pārskatu likums.</w:t>
      </w:r>
    </w:p>
    <w:p w:rsidR="007C4B4E" w:rsidRPr="00A47200" w:rsidRDefault="007C4B4E" w:rsidP="00A47200">
      <w:pPr>
        <w:pStyle w:val="Default"/>
        <w:spacing w:before="100" w:beforeAutospacing="1" w:after="100" w:afterAutospacing="1"/>
        <w:jc w:val="center"/>
        <w:rPr>
          <w:rFonts w:ascii="Times New Roman" w:hAnsi="Times New Roman" w:cs="Times New Roman"/>
          <w:color w:val="auto"/>
          <w:sz w:val="28"/>
          <w:szCs w:val="28"/>
          <w:u w:val="single"/>
        </w:rPr>
      </w:pPr>
      <w:r w:rsidRPr="00A47200">
        <w:rPr>
          <w:rFonts w:ascii="Times New Roman" w:hAnsi="Times New Roman" w:cs="Times New Roman"/>
          <w:color w:val="auto"/>
          <w:sz w:val="28"/>
          <w:szCs w:val="28"/>
          <w:u w:val="single"/>
        </w:rPr>
        <w:t>3.1.2.</w:t>
      </w:r>
      <w:r w:rsidR="00BA336C" w:rsidRPr="00A47200">
        <w:rPr>
          <w:rFonts w:ascii="Times New Roman" w:hAnsi="Times New Roman" w:cs="Times New Roman"/>
          <w:color w:val="auto"/>
          <w:sz w:val="28"/>
          <w:szCs w:val="28"/>
          <w:u w:val="single"/>
        </w:rPr>
        <w:t xml:space="preserve"> </w:t>
      </w:r>
      <w:r w:rsidR="000D1607" w:rsidRPr="00A47200">
        <w:rPr>
          <w:rFonts w:ascii="Times New Roman" w:hAnsi="Times New Roman" w:cs="Times New Roman"/>
          <w:color w:val="auto"/>
          <w:sz w:val="28"/>
          <w:szCs w:val="28"/>
          <w:u w:val="single"/>
        </w:rPr>
        <w:t xml:space="preserve">Statistiskā informācija par </w:t>
      </w:r>
      <w:r w:rsidR="003F172D" w:rsidRPr="00A47200">
        <w:rPr>
          <w:rFonts w:ascii="Times New Roman" w:hAnsi="Times New Roman" w:cs="Times New Roman"/>
          <w:color w:val="auto"/>
          <w:sz w:val="28"/>
          <w:szCs w:val="28"/>
          <w:u w:val="single"/>
        </w:rPr>
        <w:t xml:space="preserve">preču un pakalpojumu </w:t>
      </w:r>
      <w:r w:rsidR="000D1607" w:rsidRPr="00A47200">
        <w:rPr>
          <w:rFonts w:ascii="Times New Roman" w:hAnsi="Times New Roman" w:cs="Times New Roman"/>
          <w:color w:val="auto"/>
          <w:sz w:val="28"/>
          <w:szCs w:val="28"/>
          <w:u w:val="single"/>
        </w:rPr>
        <w:t>ražošanas vērtību jeb izlaidi</w:t>
      </w:r>
    </w:p>
    <w:p w:rsidR="00A34090" w:rsidRPr="00A47200" w:rsidRDefault="006E4F4C" w:rsidP="00A47200">
      <w:pPr>
        <w:pStyle w:val="Default"/>
        <w:spacing w:before="100" w:beforeAutospacing="1" w:after="100" w:afterAutospacing="1"/>
        <w:ind w:firstLine="720"/>
        <w:jc w:val="both"/>
        <w:rPr>
          <w:rFonts w:ascii="Times New Roman" w:hAnsi="Times New Roman" w:cs="Times New Roman"/>
          <w:color w:val="auto"/>
          <w:sz w:val="28"/>
          <w:szCs w:val="28"/>
        </w:rPr>
      </w:pPr>
      <w:r w:rsidRPr="00A47200">
        <w:rPr>
          <w:rFonts w:ascii="Times New Roman" w:hAnsi="Times New Roman" w:cs="Times New Roman"/>
          <w:color w:val="auto"/>
          <w:sz w:val="28"/>
          <w:szCs w:val="28"/>
        </w:rPr>
        <w:t>P</w:t>
      </w:r>
      <w:r w:rsidR="00A16290" w:rsidRPr="00A47200">
        <w:rPr>
          <w:rFonts w:ascii="Times New Roman" w:hAnsi="Times New Roman" w:cs="Times New Roman"/>
          <w:color w:val="auto"/>
          <w:sz w:val="28"/>
          <w:szCs w:val="28"/>
        </w:rPr>
        <w:t>ārvalde</w:t>
      </w:r>
      <w:r w:rsidRPr="00A47200">
        <w:rPr>
          <w:rFonts w:ascii="Times New Roman" w:hAnsi="Times New Roman" w:cs="Times New Roman"/>
          <w:color w:val="auto"/>
          <w:sz w:val="28"/>
          <w:szCs w:val="28"/>
        </w:rPr>
        <w:t xml:space="preserve"> statistisko informāciju par preču un pakalpojumu izlaidi pārskata gadā nefinanšu komersantu sektorā iegūst, izlases kārtībā</w:t>
      </w:r>
      <w:r w:rsidR="00170A43" w:rsidRPr="00A47200">
        <w:rPr>
          <w:rFonts w:ascii="Times New Roman" w:hAnsi="Times New Roman" w:cs="Times New Roman"/>
          <w:color w:val="auto"/>
          <w:sz w:val="28"/>
          <w:szCs w:val="28"/>
        </w:rPr>
        <w:t xml:space="preserve"> (gadījuma izlase, kuras izveides principi balstās uz varbūtību teoriju)</w:t>
      </w:r>
      <w:r w:rsidRPr="00A47200">
        <w:rPr>
          <w:rFonts w:ascii="Times New Roman" w:hAnsi="Times New Roman" w:cs="Times New Roman"/>
          <w:color w:val="auto"/>
          <w:sz w:val="28"/>
          <w:szCs w:val="28"/>
        </w:rPr>
        <w:t xml:space="preserve"> apsekojot ekonomiski aktīvos komersantus, zvejnieku un zemnieku saimniecības, kuru pamatdarbība nav lauksaimniecība un zvejniecība, un individuālos uzņēmumus ar nodarbināto </w:t>
      </w:r>
      <w:r w:rsidRPr="00A47200">
        <w:rPr>
          <w:rFonts w:ascii="Times New Roman" w:hAnsi="Times New Roman" w:cs="Times New Roman"/>
          <w:color w:val="auto"/>
          <w:sz w:val="28"/>
          <w:szCs w:val="28"/>
        </w:rPr>
        <w:lastRenderedPageBreak/>
        <w:t xml:space="preserve">skaitu 10 un vairāk. </w:t>
      </w:r>
      <w:r w:rsidR="00170A43" w:rsidRPr="00A47200">
        <w:rPr>
          <w:rFonts w:ascii="Times New Roman" w:hAnsi="Times New Roman" w:cs="Times New Roman"/>
          <w:color w:val="auto"/>
          <w:sz w:val="28"/>
          <w:szCs w:val="28"/>
        </w:rPr>
        <w:t>Ar p</w:t>
      </w:r>
      <w:r w:rsidR="00AA2A61" w:rsidRPr="00A47200">
        <w:rPr>
          <w:rFonts w:ascii="Times New Roman" w:hAnsi="Times New Roman" w:cs="Times New Roman"/>
          <w:color w:val="auto"/>
          <w:sz w:val="28"/>
          <w:szCs w:val="28"/>
        </w:rPr>
        <w:t>ārskat</w:t>
      </w:r>
      <w:r w:rsidR="00170A43" w:rsidRPr="00A47200">
        <w:rPr>
          <w:rFonts w:ascii="Times New Roman" w:hAnsi="Times New Roman" w:cs="Times New Roman"/>
          <w:color w:val="auto"/>
          <w:sz w:val="28"/>
          <w:szCs w:val="28"/>
        </w:rPr>
        <w:t>u</w:t>
      </w:r>
      <w:r w:rsidR="00AA2A61" w:rsidRPr="00A47200">
        <w:rPr>
          <w:rFonts w:ascii="Times New Roman" w:hAnsi="Times New Roman" w:cs="Times New Roman"/>
          <w:color w:val="auto"/>
          <w:sz w:val="28"/>
          <w:szCs w:val="28"/>
        </w:rPr>
        <w:t xml:space="preserve"> </w:t>
      </w:r>
      <w:r w:rsidR="003C49A7" w:rsidRPr="00A47200">
        <w:rPr>
          <w:rFonts w:ascii="Times New Roman" w:hAnsi="Times New Roman" w:cs="Times New Roman"/>
          <w:color w:val="auto"/>
          <w:sz w:val="28"/>
          <w:szCs w:val="28"/>
        </w:rPr>
        <w:t xml:space="preserve">1-gada „Kompleksais pārskats par darbību” </w:t>
      </w:r>
      <w:r w:rsidR="00D9671C" w:rsidRPr="00A47200">
        <w:rPr>
          <w:rFonts w:ascii="Times New Roman" w:hAnsi="Times New Roman" w:cs="Times New Roman"/>
          <w:color w:val="auto"/>
          <w:sz w:val="28"/>
          <w:szCs w:val="28"/>
        </w:rPr>
        <w:t xml:space="preserve">(turpmāk </w:t>
      </w:r>
      <w:r w:rsidR="00D9671C" w:rsidRPr="00A47200">
        <w:rPr>
          <w:rFonts w:ascii="Times New Roman" w:hAnsi="Times New Roman" w:cs="Times New Roman"/>
          <w:sz w:val="28"/>
          <w:szCs w:val="28"/>
        </w:rPr>
        <w:t>–</w:t>
      </w:r>
      <w:r w:rsidR="00D9671C" w:rsidRPr="00A47200">
        <w:rPr>
          <w:rFonts w:ascii="Times New Roman" w:hAnsi="Times New Roman" w:cs="Times New Roman"/>
          <w:color w:val="auto"/>
          <w:sz w:val="28"/>
          <w:szCs w:val="28"/>
        </w:rPr>
        <w:t xml:space="preserve"> </w:t>
      </w:r>
      <w:r w:rsidR="00D94BEB" w:rsidRPr="00A47200">
        <w:rPr>
          <w:rFonts w:ascii="Times New Roman" w:hAnsi="Times New Roman" w:cs="Times New Roman"/>
          <w:color w:val="auto"/>
          <w:sz w:val="28"/>
          <w:szCs w:val="28"/>
        </w:rPr>
        <w:t xml:space="preserve">1-gada) </w:t>
      </w:r>
      <w:r w:rsidR="00AA2A61" w:rsidRPr="00A47200">
        <w:rPr>
          <w:rFonts w:ascii="Times New Roman" w:hAnsi="Times New Roman" w:cs="Times New Roman"/>
          <w:color w:val="auto"/>
          <w:sz w:val="28"/>
          <w:szCs w:val="28"/>
        </w:rPr>
        <w:t>tiek apsekoti aptuveni 12% ekonomiski aktīvo uzņēmumu. Apsekojumā tiek iegūti dati par respondent</w:t>
      </w:r>
      <w:r w:rsidR="00CC7C2F" w:rsidRPr="00A47200">
        <w:rPr>
          <w:rFonts w:ascii="Times New Roman" w:hAnsi="Times New Roman" w:cs="Times New Roman"/>
          <w:color w:val="auto"/>
          <w:sz w:val="28"/>
          <w:szCs w:val="28"/>
        </w:rPr>
        <w:t>a</w:t>
      </w:r>
      <w:r w:rsidR="00AA2A61" w:rsidRPr="00A47200">
        <w:rPr>
          <w:rFonts w:ascii="Times New Roman" w:hAnsi="Times New Roman" w:cs="Times New Roman"/>
          <w:color w:val="auto"/>
          <w:sz w:val="28"/>
          <w:szCs w:val="28"/>
        </w:rPr>
        <w:t xml:space="preserve"> neto apgrozījuma</w:t>
      </w:r>
      <w:r w:rsidR="00CC7C2F" w:rsidRPr="00A47200">
        <w:rPr>
          <w:rFonts w:ascii="Times New Roman" w:hAnsi="Times New Roman" w:cs="Times New Roman"/>
          <w:color w:val="auto"/>
          <w:sz w:val="28"/>
          <w:szCs w:val="28"/>
        </w:rPr>
        <w:t>, pārējo saimnieciskās darbības ieņēmumu un ārkārtas ieņēmumu, savām vajadzībām saražotās produkcijas, kā arī darbinieku skaita un darba samaksas</w:t>
      </w:r>
      <w:r w:rsidR="00AA2A61" w:rsidRPr="00A47200">
        <w:rPr>
          <w:rFonts w:ascii="Times New Roman" w:hAnsi="Times New Roman" w:cs="Times New Roman"/>
          <w:color w:val="auto"/>
          <w:sz w:val="28"/>
          <w:szCs w:val="28"/>
        </w:rPr>
        <w:t xml:space="preserve"> sadalījumu </w:t>
      </w:r>
      <w:r w:rsidR="00CC7C2F" w:rsidRPr="00A47200">
        <w:rPr>
          <w:rFonts w:ascii="Times New Roman" w:hAnsi="Times New Roman" w:cs="Times New Roman"/>
          <w:color w:val="auto"/>
          <w:sz w:val="28"/>
          <w:szCs w:val="28"/>
        </w:rPr>
        <w:t>pa saimnieciskās darbības veidiem</w:t>
      </w:r>
      <w:r w:rsidR="00A34090" w:rsidRPr="00A47200">
        <w:rPr>
          <w:rFonts w:ascii="Times New Roman" w:hAnsi="Times New Roman" w:cs="Times New Roman"/>
          <w:color w:val="auto"/>
          <w:sz w:val="28"/>
          <w:szCs w:val="28"/>
        </w:rPr>
        <w:t xml:space="preserve"> atbilstoši NACE </w:t>
      </w:r>
      <w:r w:rsidR="00A16290" w:rsidRPr="00A47200">
        <w:rPr>
          <w:rFonts w:ascii="Times New Roman" w:hAnsi="Times New Roman" w:cs="Times New Roman"/>
          <w:color w:val="auto"/>
          <w:sz w:val="28"/>
          <w:szCs w:val="28"/>
        </w:rPr>
        <w:t>2.red.</w:t>
      </w:r>
      <w:r w:rsidR="00CC7C2F" w:rsidRPr="00A47200">
        <w:rPr>
          <w:rFonts w:ascii="Times New Roman" w:hAnsi="Times New Roman" w:cs="Times New Roman"/>
          <w:color w:val="auto"/>
          <w:sz w:val="28"/>
          <w:szCs w:val="28"/>
        </w:rPr>
        <w:t xml:space="preserve"> Respektīvi, par šiem 12% ekonomiski aktīvo uzņēmumu tiek iegūta statistiskā informācija, kas raksturo uzņēmuma DVV.</w:t>
      </w:r>
    </w:p>
    <w:p w:rsidR="00A34090" w:rsidRPr="00A47200" w:rsidRDefault="00A34090" w:rsidP="00A47200">
      <w:pPr>
        <w:pStyle w:val="Default"/>
        <w:spacing w:before="100" w:beforeAutospacing="1" w:after="100" w:afterAutospacing="1"/>
        <w:ind w:firstLine="720"/>
        <w:jc w:val="both"/>
        <w:rPr>
          <w:rFonts w:ascii="Times New Roman" w:hAnsi="Times New Roman" w:cs="Times New Roman"/>
          <w:color w:val="auto"/>
          <w:sz w:val="28"/>
          <w:szCs w:val="28"/>
        </w:rPr>
      </w:pPr>
      <w:r w:rsidRPr="00A47200">
        <w:rPr>
          <w:rFonts w:ascii="Times New Roman" w:hAnsi="Times New Roman" w:cs="Times New Roman"/>
          <w:color w:val="auto"/>
          <w:sz w:val="28"/>
          <w:szCs w:val="28"/>
        </w:rPr>
        <w:t xml:space="preserve">Ekonomiskie rādītāji par nefinanšu sektora </w:t>
      </w:r>
      <w:r w:rsidR="00071F1E" w:rsidRPr="00A47200">
        <w:rPr>
          <w:rFonts w:ascii="Times New Roman" w:hAnsi="Times New Roman" w:cs="Times New Roman"/>
          <w:color w:val="auto"/>
          <w:sz w:val="28"/>
          <w:szCs w:val="28"/>
        </w:rPr>
        <w:t>vienībām</w:t>
      </w:r>
      <w:r w:rsidRPr="00A47200">
        <w:rPr>
          <w:rFonts w:ascii="Times New Roman" w:hAnsi="Times New Roman" w:cs="Times New Roman"/>
          <w:color w:val="auto"/>
          <w:sz w:val="28"/>
          <w:szCs w:val="28"/>
        </w:rPr>
        <w:t>, kas netiek apsekot</w:t>
      </w:r>
      <w:r w:rsidR="00071F1E" w:rsidRPr="00A47200">
        <w:rPr>
          <w:rFonts w:ascii="Times New Roman" w:hAnsi="Times New Roman" w:cs="Times New Roman"/>
          <w:color w:val="auto"/>
          <w:sz w:val="28"/>
          <w:szCs w:val="28"/>
        </w:rPr>
        <w:t>as</w:t>
      </w:r>
      <w:r w:rsidRPr="00A47200">
        <w:rPr>
          <w:rFonts w:ascii="Times New Roman" w:hAnsi="Times New Roman" w:cs="Times New Roman"/>
          <w:color w:val="auto"/>
          <w:sz w:val="28"/>
          <w:szCs w:val="28"/>
        </w:rPr>
        <w:t xml:space="preserve"> ar nosaukto pārskatu, kā arī par finanšu sektora vienībām – bankām, apdrošināšanas sabiedrībām, pensiju fondiem, kā arī mājsaimniecības apkalpojošo bezpeļņas organizāciju sektora vienībām – biedrībām, nodibinājumiem un fondiem, tiek iegūti no Valsts ieņēmumu dienesta</w:t>
      </w:r>
      <w:r w:rsidR="00071F1E" w:rsidRPr="00A47200">
        <w:rPr>
          <w:rFonts w:ascii="Times New Roman" w:hAnsi="Times New Roman" w:cs="Times New Roman"/>
          <w:color w:val="auto"/>
          <w:sz w:val="28"/>
          <w:szCs w:val="28"/>
        </w:rPr>
        <w:t>m iesniegtajiem gada pārskatiem un deklarācijām</w:t>
      </w:r>
      <w:r w:rsidRPr="00A47200">
        <w:rPr>
          <w:rFonts w:ascii="Times New Roman" w:hAnsi="Times New Roman" w:cs="Times New Roman"/>
          <w:color w:val="auto"/>
          <w:sz w:val="28"/>
          <w:szCs w:val="28"/>
        </w:rPr>
        <w:t xml:space="preserve">. Šī informācija raksturo attiecīgo </w:t>
      </w:r>
      <w:r w:rsidR="003C49A7" w:rsidRPr="00A47200">
        <w:rPr>
          <w:rFonts w:ascii="Times New Roman" w:hAnsi="Times New Roman" w:cs="Times New Roman"/>
          <w:color w:val="auto"/>
          <w:sz w:val="28"/>
          <w:szCs w:val="28"/>
        </w:rPr>
        <w:t xml:space="preserve">augstāk nosaukto </w:t>
      </w:r>
      <w:r w:rsidRPr="00A47200">
        <w:rPr>
          <w:rFonts w:ascii="Times New Roman" w:hAnsi="Times New Roman" w:cs="Times New Roman"/>
          <w:color w:val="auto"/>
          <w:sz w:val="28"/>
          <w:szCs w:val="28"/>
        </w:rPr>
        <w:t xml:space="preserve">vienību kopumā, bez sadalījuma </w:t>
      </w:r>
      <w:r w:rsidR="002A7A1B" w:rsidRPr="00A47200">
        <w:rPr>
          <w:rFonts w:ascii="Times New Roman" w:hAnsi="Times New Roman" w:cs="Times New Roman"/>
          <w:color w:val="auto"/>
          <w:sz w:val="28"/>
          <w:szCs w:val="28"/>
        </w:rPr>
        <w:t>pa darbības veidiem</w:t>
      </w:r>
      <w:r w:rsidRPr="00A47200">
        <w:rPr>
          <w:rFonts w:ascii="Times New Roman" w:hAnsi="Times New Roman" w:cs="Times New Roman"/>
          <w:color w:val="auto"/>
          <w:sz w:val="28"/>
          <w:szCs w:val="28"/>
        </w:rPr>
        <w:t>.</w:t>
      </w:r>
    </w:p>
    <w:p w:rsidR="001B41CB" w:rsidRPr="00A47200" w:rsidRDefault="00A34090" w:rsidP="00A47200">
      <w:pPr>
        <w:pStyle w:val="Default"/>
        <w:spacing w:before="100" w:beforeAutospacing="1" w:after="100" w:afterAutospacing="1"/>
        <w:ind w:firstLine="720"/>
        <w:jc w:val="both"/>
        <w:rPr>
          <w:rFonts w:ascii="Times New Roman" w:hAnsi="Times New Roman" w:cs="Times New Roman"/>
          <w:sz w:val="28"/>
          <w:szCs w:val="28"/>
        </w:rPr>
      </w:pPr>
      <w:r w:rsidRPr="00A47200">
        <w:rPr>
          <w:rFonts w:ascii="Times New Roman" w:hAnsi="Times New Roman" w:cs="Times New Roman"/>
          <w:color w:val="auto"/>
          <w:sz w:val="28"/>
          <w:szCs w:val="28"/>
        </w:rPr>
        <w:t xml:space="preserve">Valsts un pašvaldību iestādes </w:t>
      </w:r>
      <w:r w:rsidR="00F97808" w:rsidRPr="00A47200">
        <w:rPr>
          <w:rFonts w:ascii="Times New Roman" w:hAnsi="Times New Roman" w:cs="Times New Roman"/>
          <w:color w:val="auto"/>
          <w:sz w:val="28"/>
          <w:szCs w:val="28"/>
        </w:rPr>
        <w:t>Pārvaldei</w:t>
      </w:r>
      <w:r w:rsidRPr="00A47200">
        <w:rPr>
          <w:rFonts w:ascii="Times New Roman" w:hAnsi="Times New Roman" w:cs="Times New Roman"/>
          <w:color w:val="auto"/>
          <w:sz w:val="28"/>
          <w:szCs w:val="28"/>
        </w:rPr>
        <w:t xml:space="preserve"> iesniedz </w:t>
      </w:r>
      <w:r w:rsidR="009B0E1B" w:rsidRPr="00A47200">
        <w:rPr>
          <w:rFonts w:ascii="Times New Roman" w:hAnsi="Times New Roman" w:cs="Times New Roman"/>
          <w:color w:val="auto"/>
          <w:sz w:val="28"/>
          <w:szCs w:val="28"/>
        </w:rPr>
        <w:t>pārskatu 2-gada „Kompleksais pārskats par darbību”</w:t>
      </w:r>
      <w:r w:rsidR="00D94BEB" w:rsidRPr="00A47200">
        <w:rPr>
          <w:rFonts w:ascii="Times New Roman" w:hAnsi="Times New Roman" w:cs="Times New Roman"/>
          <w:color w:val="auto"/>
          <w:sz w:val="28"/>
          <w:szCs w:val="28"/>
        </w:rPr>
        <w:t xml:space="preserve"> (turpmāk – 2-gada)</w:t>
      </w:r>
      <w:r w:rsidR="00170A43" w:rsidRPr="00A47200">
        <w:rPr>
          <w:rFonts w:ascii="Times New Roman" w:hAnsi="Times New Roman" w:cs="Times New Roman"/>
          <w:color w:val="auto"/>
          <w:sz w:val="28"/>
          <w:szCs w:val="28"/>
        </w:rPr>
        <w:t>. Ar šī pārskata palīdzību tiek</w:t>
      </w:r>
      <w:r w:rsidR="009B0E1B" w:rsidRPr="00A47200">
        <w:rPr>
          <w:rFonts w:ascii="Times New Roman" w:hAnsi="Times New Roman" w:cs="Times New Roman"/>
          <w:sz w:val="28"/>
          <w:szCs w:val="28"/>
        </w:rPr>
        <w:t xml:space="preserve"> iegūt</w:t>
      </w:r>
      <w:r w:rsidR="00170A43" w:rsidRPr="00A47200">
        <w:rPr>
          <w:rFonts w:ascii="Times New Roman" w:hAnsi="Times New Roman" w:cs="Times New Roman"/>
          <w:sz w:val="28"/>
          <w:szCs w:val="28"/>
        </w:rPr>
        <w:t>a statistiskā informācija</w:t>
      </w:r>
      <w:r w:rsidR="009B0E1B" w:rsidRPr="00A47200">
        <w:rPr>
          <w:rFonts w:ascii="Times New Roman" w:hAnsi="Times New Roman" w:cs="Times New Roman"/>
          <w:sz w:val="28"/>
          <w:szCs w:val="28"/>
        </w:rPr>
        <w:t xml:space="preserve"> nozaru griezumā par atsevišķiem valsts un pašvaldību iestāžu darbības rādītājiem – kārtējiem izdevumiem, ieņēmumiem no maksas pakalpojumiem, kā arī vidējā dar</w:t>
      </w:r>
      <w:r w:rsidR="001B41CB" w:rsidRPr="00A47200">
        <w:rPr>
          <w:rFonts w:ascii="Times New Roman" w:hAnsi="Times New Roman" w:cs="Times New Roman"/>
          <w:sz w:val="28"/>
          <w:szCs w:val="28"/>
        </w:rPr>
        <w:t>binieku skaita sadalījumu pa nozarēm.</w:t>
      </w:r>
    </w:p>
    <w:p w:rsidR="00CC7C2F" w:rsidRPr="00A47200" w:rsidRDefault="001B41CB" w:rsidP="00A47200">
      <w:pPr>
        <w:pStyle w:val="Default"/>
        <w:spacing w:before="100" w:beforeAutospacing="1" w:after="100" w:afterAutospacing="1"/>
        <w:ind w:firstLine="720"/>
        <w:jc w:val="both"/>
        <w:rPr>
          <w:rFonts w:ascii="Times New Roman" w:hAnsi="Times New Roman" w:cs="Times New Roman"/>
          <w:sz w:val="28"/>
          <w:szCs w:val="28"/>
          <w:u w:val="single"/>
        </w:rPr>
      </w:pPr>
      <w:r w:rsidRPr="00A47200">
        <w:rPr>
          <w:rFonts w:ascii="Times New Roman" w:hAnsi="Times New Roman" w:cs="Times New Roman"/>
          <w:sz w:val="28"/>
          <w:szCs w:val="28"/>
        </w:rPr>
        <w:t xml:space="preserve">Pārskatu 1-gada un 2-gada respondenti, kā arī </w:t>
      </w:r>
      <w:r w:rsidRPr="00A47200">
        <w:rPr>
          <w:rFonts w:ascii="Times New Roman" w:hAnsi="Times New Roman" w:cs="Times New Roman"/>
          <w:color w:val="auto"/>
          <w:sz w:val="28"/>
          <w:szCs w:val="28"/>
        </w:rPr>
        <w:t xml:space="preserve">ekonomiski aktīvie uzņēmumi, kuru pamatdarbība ir klasificēta NACE 2.red. K sadaļā „Finanšu un apdrošināšanas darbības”, ja izpildās nosacījums, ka vidējais nodarbināto skaits ir lielāks vai vienāds ar 10 vai tiem ir divas vai vairāk VDVV, </w:t>
      </w:r>
      <w:r w:rsidRPr="00A47200">
        <w:rPr>
          <w:rFonts w:ascii="Times New Roman" w:hAnsi="Times New Roman" w:cs="Times New Roman"/>
          <w:sz w:val="28"/>
          <w:szCs w:val="28"/>
        </w:rPr>
        <w:t xml:space="preserve">papildus tiek apsekoti ar statistikas pārskatu 1-DVV „Uzņēmuma (iestādes) vietējās darbības veida vienības”, </w:t>
      </w:r>
      <w:r w:rsidR="00170A43" w:rsidRPr="00A47200">
        <w:rPr>
          <w:rFonts w:ascii="Times New Roman" w:hAnsi="Times New Roman" w:cs="Times New Roman"/>
          <w:sz w:val="28"/>
          <w:szCs w:val="28"/>
        </w:rPr>
        <w:t xml:space="preserve">tādejādi iegūstot datus </w:t>
      </w:r>
      <w:r w:rsidRPr="00A47200">
        <w:rPr>
          <w:rFonts w:ascii="Times New Roman" w:hAnsi="Times New Roman" w:cs="Times New Roman"/>
          <w:color w:val="auto"/>
          <w:sz w:val="28"/>
          <w:szCs w:val="28"/>
        </w:rPr>
        <w:t>par VDVV atrašanās vietu, vidējo</w:t>
      </w:r>
      <w:r w:rsidR="001E11F2" w:rsidRPr="00A47200">
        <w:rPr>
          <w:rFonts w:ascii="Times New Roman" w:hAnsi="Times New Roman" w:cs="Times New Roman"/>
          <w:color w:val="auto"/>
          <w:sz w:val="28"/>
          <w:szCs w:val="28"/>
        </w:rPr>
        <w:t xml:space="preserve"> nodarbināto skaitu gadā un</w:t>
      </w:r>
      <w:r w:rsidRPr="00A47200">
        <w:rPr>
          <w:rFonts w:ascii="Times New Roman" w:hAnsi="Times New Roman" w:cs="Times New Roman"/>
          <w:color w:val="auto"/>
          <w:sz w:val="28"/>
          <w:szCs w:val="28"/>
        </w:rPr>
        <w:t xml:space="preserve"> darbības veidu (NACE 2.red. klašu līmenī).</w:t>
      </w:r>
    </w:p>
    <w:p w:rsidR="001C31E3" w:rsidRPr="00A47200" w:rsidRDefault="001C31E3" w:rsidP="00A47200">
      <w:pPr>
        <w:pStyle w:val="Default"/>
        <w:spacing w:before="100" w:beforeAutospacing="1" w:after="100" w:afterAutospacing="1"/>
        <w:ind w:firstLine="720"/>
        <w:jc w:val="both"/>
        <w:rPr>
          <w:rFonts w:ascii="Times New Roman" w:hAnsi="Times New Roman" w:cs="Times New Roman"/>
          <w:sz w:val="28"/>
          <w:szCs w:val="28"/>
        </w:rPr>
      </w:pPr>
      <w:r w:rsidRPr="00A47200">
        <w:rPr>
          <w:rFonts w:ascii="Times New Roman" w:hAnsi="Times New Roman" w:cs="Times New Roman"/>
          <w:sz w:val="28"/>
          <w:szCs w:val="28"/>
        </w:rPr>
        <w:t>Izmantojot visus iepriekš nosauktos informācijas avotus, ir iespējams iegūt nosacīti precīzu tiešo statistisko informāciju par republikas pilsētā (vai reģionā) izvietoto vienību preču vai pakalpojumu ražošanas apjomu jeb izlaidi.</w:t>
      </w:r>
    </w:p>
    <w:p w:rsidR="001B41CB" w:rsidRPr="00A47200" w:rsidRDefault="001B41CB" w:rsidP="00A47200">
      <w:pPr>
        <w:pStyle w:val="Default"/>
        <w:spacing w:before="100" w:beforeAutospacing="1" w:after="100" w:afterAutospacing="1"/>
        <w:jc w:val="center"/>
        <w:rPr>
          <w:rFonts w:ascii="Times New Roman" w:hAnsi="Times New Roman" w:cs="Times New Roman"/>
          <w:sz w:val="28"/>
          <w:szCs w:val="28"/>
          <w:u w:val="single"/>
        </w:rPr>
      </w:pPr>
      <w:r w:rsidRPr="00A47200">
        <w:rPr>
          <w:rFonts w:ascii="Times New Roman" w:hAnsi="Times New Roman" w:cs="Times New Roman"/>
          <w:sz w:val="28"/>
          <w:szCs w:val="28"/>
          <w:u w:val="single"/>
        </w:rPr>
        <w:t>3.1.3. Statistiskā informācija par starppatēriņu</w:t>
      </w:r>
    </w:p>
    <w:p w:rsidR="001B41CB" w:rsidRPr="00A47200" w:rsidRDefault="001C31E3" w:rsidP="00A47200">
      <w:pPr>
        <w:pStyle w:val="Default"/>
        <w:spacing w:before="100" w:beforeAutospacing="1" w:after="100" w:afterAutospacing="1"/>
        <w:ind w:firstLine="720"/>
        <w:jc w:val="both"/>
        <w:rPr>
          <w:rFonts w:ascii="Times New Roman" w:hAnsi="Times New Roman" w:cs="Times New Roman"/>
          <w:color w:val="auto"/>
          <w:sz w:val="28"/>
          <w:szCs w:val="28"/>
        </w:rPr>
      </w:pPr>
      <w:r w:rsidRPr="00A47200">
        <w:rPr>
          <w:rFonts w:ascii="Times New Roman" w:hAnsi="Times New Roman" w:cs="Times New Roman"/>
          <w:color w:val="auto"/>
          <w:sz w:val="28"/>
          <w:szCs w:val="28"/>
        </w:rPr>
        <w:t>Statistiskā informācija par starppatēriņu jeb attiecīgajai ražošanai nepieciešamo izejvielu un materiālu, preču un pakalpojumu izmaksām, ir iegūs</w:t>
      </w:r>
      <w:r w:rsidR="00F968B1" w:rsidRPr="00A47200">
        <w:rPr>
          <w:rFonts w:ascii="Times New Roman" w:hAnsi="Times New Roman" w:cs="Times New Roman"/>
          <w:color w:val="auto"/>
          <w:sz w:val="28"/>
          <w:szCs w:val="28"/>
        </w:rPr>
        <w:t>tama ievērojami šaurākā apjomā.</w:t>
      </w:r>
    </w:p>
    <w:p w:rsidR="001C31E3" w:rsidRPr="00A47200" w:rsidRDefault="001C31E3" w:rsidP="00A47200">
      <w:pPr>
        <w:pStyle w:val="Default"/>
        <w:spacing w:before="100" w:beforeAutospacing="1"/>
        <w:ind w:firstLine="720"/>
        <w:jc w:val="both"/>
        <w:rPr>
          <w:rFonts w:ascii="Times New Roman" w:hAnsi="Times New Roman" w:cs="Times New Roman"/>
          <w:color w:val="auto"/>
          <w:sz w:val="28"/>
          <w:szCs w:val="28"/>
        </w:rPr>
      </w:pPr>
      <w:r w:rsidRPr="00A47200">
        <w:rPr>
          <w:rFonts w:ascii="Times New Roman" w:hAnsi="Times New Roman" w:cs="Times New Roman"/>
          <w:color w:val="auto"/>
          <w:sz w:val="28"/>
          <w:szCs w:val="28"/>
        </w:rPr>
        <w:lastRenderedPageBreak/>
        <w:t>Pārskatā 1-gada</w:t>
      </w:r>
      <w:r w:rsidR="00AF677E" w:rsidRPr="00A47200">
        <w:rPr>
          <w:rFonts w:ascii="Times New Roman" w:hAnsi="Times New Roman" w:cs="Times New Roman"/>
          <w:color w:val="auto"/>
          <w:sz w:val="28"/>
          <w:szCs w:val="28"/>
        </w:rPr>
        <w:t xml:space="preserve"> </w:t>
      </w:r>
      <w:r w:rsidRPr="00A47200">
        <w:rPr>
          <w:rFonts w:ascii="Times New Roman" w:hAnsi="Times New Roman" w:cs="Times New Roman"/>
          <w:color w:val="auto"/>
          <w:sz w:val="28"/>
          <w:szCs w:val="28"/>
        </w:rPr>
        <w:t>kopā pa uzņēmumu, bez sadalījuma pa saimnieciskās darbības veidiem</w:t>
      </w:r>
      <w:r w:rsidR="00EA14E0" w:rsidRPr="00A47200">
        <w:rPr>
          <w:rFonts w:ascii="Times New Roman" w:hAnsi="Times New Roman" w:cs="Times New Roman"/>
          <w:color w:val="auto"/>
          <w:sz w:val="28"/>
          <w:szCs w:val="28"/>
        </w:rPr>
        <w:t xml:space="preserve"> </w:t>
      </w:r>
      <w:r w:rsidR="002A7A1B" w:rsidRPr="00A47200">
        <w:rPr>
          <w:rFonts w:ascii="Times New Roman" w:hAnsi="Times New Roman" w:cs="Times New Roman"/>
          <w:color w:val="auto"/>
          <w:sz w:val="28"/>
          <w:szCs w:val="28"/>
        </w:rPr>
        <w:t>un bez</w:t>
      </w:r>
      <w:r w:rsidR="00EA14E0" w:rsidRPr="00A47200">
        <w:rPr>
          <w:rFonts w:ascii="Times New Roman" w:hAnsi="Times New Roman" w:cs="Times New Roman"/>
          <w:color w:val="auto"/>
          <w:sz w:val="28"/>
          <w:szCs w:val="28"/>
        </w:rPr>
        <w:t xml:space="preserve"> </w:t>
      </w:r>
      <w:r w:rsidR="002A7A1B" w:rsidRPr="00A47200">
        <w:rPr>
          <w:rFonts w:ascii="Times New Roman" w:hAnsi="Times New Roman" w:cs="Times New Roman"/>
          <w:color w:val="auto"/>
          <w:sz w:val="28"/>
          <w:szCs w:val="28"/>
        </w:rPr>
        <w:t>norādes par</w:t>
      </w:r>
      <w:r w:rsidR="00EA14E0" w:rsidRPr="00A47200">
        <w:rPr>
          <w:rFonts w:ascii="Times New Roman" w:hAnsi="Times New Roman" w:cs="Times New Roman"/>
          <w:color w:val="auto"/>
          <w:sz w:val="28"/>
          <w:szCs w:val="28"/>
        </w:rPr>
        <w:t xml:space="preserve"> ražotnes atrašanās vietu,</w:t>
      </w:r>
      <w:r w:rsidRPr="00A47200">
        <w:rPr>
          <w:rFonts w:ascii="Times New Roman" w:hAnsi="Times New Roman" w:cs="Times New Roman"/>
          <w:color w:val="auto"/>
          <w:sz w:val="28"/>
          <w:szCs w:val="28"/>
        </w:rPr>
        <w:t xml:space="preserve"> tiek savākt</w:t>
      </w:r>
      <w:r w:rsidR="00F968B1" w:rsidRPr="00A47200">
        <w:rPr>
          <w:rFonts w:ascii="Times New Roman" w:hAnsi="Times New Roman" w:cs="Times New Roman"/>
          <w:color w:val="auto"/>
          <w:sz w:val="28"/>
          <w:szCs w:val="28"/>
        </w:rPr>
        <w:t>a šāda statistiskā informācija:</w:t>
      </w:r>
    </w:p>
    <w:p w:rsidR="001C31E3" w:rsidRPr="00A47200" w:rsidRDefault="00F30221" w:rsidP="00A47200">
      <w:pPr>
        <w:pStyle w:val="Default"/>
        <w:numPr>
          <w:ilvl w:val="0"/>
          <w:numId w:val="7"/>
        </w:numPr>
        <w:spacing w:before="100" w:beforeAutospacing="1" w:after="100" w:afterAutospacing="1"/>
        <w:ind w:left="2127" w:hanging="426"/>
        <w:jc w:val="both"/>
        <w:rPr>
          <w:rFonts w:ascii="Times New Roman" w:hAnsi="Times New Roman" w:cs="Times New Roman"/>
          <w:sz w:val="28"/>
          <w:szCs w:val="28"/>
        </w:rPr>
      </w:pPr>
      <w:r w:rsidRPr="00A47200">
        <w:rPr>
          <w:rFonts w:ascii="Times New Roman" w:hAnsi="Times New Roman" w:cs="Times New Roman"/>
          <w:sz w:val="28"/>
          <w:szCs w:val="28"/>
        </w:rPr>
        <w:t>I</w:t>
      </w:r>
      <w:r w:rsidR="001C31E3" w:rsidRPr="00A47200">
        <w:rPr>
          <w:rFonts w:ascii="Times New Roman" w:hAnsi="Times New Roman" w:cs="Times New Roman"/>
          <w:sz w:val="28"/>
          <w:szCs w:val="28"/>
        </w:rPr>
        <w:t>zejvielas, pamatmateriāli, palīgmateriāli un citas preces uzņēmuma darbības nodrošināšanai;</w:t>
      </w:r>
    </w:p>
    <w:p w:rsidR="001C31E3" w:rsidRPr="00A47200" w:rsidRDefault="00F30221" w:rsidP="00A47200">
      <w:pPr>
        <w:pStyle w:val="Default"/>
        <w:numPr>
          <w:ilvl w:val="0"/>
          <w:numId w:val="7"/>
        </w:numPr>
        <w:spacing w:before="100" w:beforeAutospacing="1" w:after="100" w:afterAutospacing="1"/>
        <w:ind w:left="2127" w:hanging="426"/>
        <w:jc w:val="both"/>
        <w:rPr>
          <w:rFonts w:ascii="Times New Roman" w:hAnsi="Times New Roman" w:cs="Times New Roman"/>
          <w:color w:val="auto"/>
          <w:sz w:val="28"/>
          <w:szCs w:val="28"/>
        </w:rPr>
      </w:pPr>
      <w:r w:rsidRPr="00A47200">
        <w:rPr>
          <w:rFonts w:ascii="Times New Roman" w:hAnsi="Times New Roman" w:cs="Times New Roman"/>
          <w:sz w:val="28"/>
          <w:szCs w:val="28"/>
        </w:rPr>
        <w:t>P</w:t>
      </w:r>
      <w:r w:rsidR="001C31E3" w:rsidRPr="00A47200">
        <w:rPr>
          <w:rFonts w:ascii="Times New Roman" w:hAnsi="Times New Roman" w:cs="Times New Roman"/>
          <w:sz w:val="28"/>
          <w:szCs w:val="28"/>
        </w:rPr>
        <w:t>reces un pakalpojumi, kas iegādāti pārdošanai;</w:t>
      </w:r>
    </w:p>
    <w:p w:rsidR="001C31E3" w:rsidRPr="00A47200" w:rsidRDefault="00F30221" w:rsidP="00A47200">
      <w:pPr>
        <w:pStyle w:val="Default"/>
        <w:numPr>
          <w:ilvl w:val="0"/>
          <w:numId w:val="7"/>
        </w:numPr>
        <w:spacing w:before="100" w:beforeAutospacing="1" w:after="100" w:afterAutospacing="1"/>
        <w:ind w:left="2127" w:hanging="426"/>
        <w:jc w:val="both"/>
        <w:rPr>
          <w:rFonts w:ascii="Times New Roman" w:hAnsi="Times New Roman" w:cs="Times New Roman"/>
          <w:color w:val="auto"/>
          <w:sz w:val="28"/>
          <w:szCs w:val="28"/>
        </w:rPr>
      </w:pPr>
      <w:r w:rsidRPr="00A47200">
        <w:rPr>
          <w:rFonts w:ascii="Times New Roman" w:hAnsi="Times New Roman" w:cs="Times New Roman"/>
          <w:sz w:val="28"/>
          <w:szCs w:val="28"/>
        </w:rPr>
        <w:t>M</w:t>
      </w:r>
      <w:r w:rsidR="001C31E3" w:rsidRPr="00A47200">
        <w:rPr>
          <w:rFonts w:ascii="Times New Roman" w:hAnsi="Times New Roman" w:cs="Times New Roman"/>
          <w:sz w:val="28"/>
          <w:szCs w:val="28"/>
        </w:rPr>
        <w:t>aksa par pakalpojumiem.</w:t>
      </w:r>
    </w:p>
    <w:p w:rsidR="00EA14E0" w:rsidRPr="00A47200" w:rsidRDefault="00EA14E0" w:rsidP="00A47200">
      <w:pPr>
        <w:pStyle w:val="Default"/>
        <w:spacing w:before="100" w:beforeAutospacing="1" w:after="100" w:afterAutospacing="1"/>
        <w:ind w:firstLine="720"/>
        <w:jc w:val="both"/>
        <w:rPr>
          <w:rFonts w:ascii="Times New Roman" w:hAnsi="Times New Roman" w:cs="Times New Roman"/>
          <w:sz w:val="28"/>
          <w:szCs w:val="28"/>
        </w:rPr>
      </w:pPr>
      <w:r w:rsidRPr="00A47200">
        <w:rPr>
          <w:rFonts w:ascii="Times New Roman" w:hAnsi="Times New Roman" w:cs="Times New Roman"/>
          <w:sz w:val="28"/>
          <w:szCs w:val="28"/>
        </w:rPr>
        <w:t xml:space="preserve">Līdzīgi, </w:t>
      </w:r>
      <w:r w:rsidR="00AF677E" w:rsidRPr="00A47200">
        <w:rPr>
          <w:rFonts w:ascii="Times New Roman" w:hAnsi="Times New Roman" w:cs="Times New Roman"/>
          <w:sz w:val="28"/>
          <w:szCs w:val="28"/>
        </w:rPr>
        <w:t xml:space="preserve">arī </w:t>
      </w:r>
      <w:r w:rsidRPr="00A47200">
        <w:rPr>
          <w:rFonts w:ascii="Times New Roman" w:hAnsi="Times New Roman" w:cs="Times New Roman"/>
          <w:sz w:val="28"/>
          <w:szCs w:val="28"/>
        </w:rPr>
        <w:t xml:space="preserve">tikai kopā pa uzņēmumu, no Valsts ieņēmumu dienesta </w:t>
      </w:r>
      <w:r w:rsidR="002A7A1B" w:rsidRPr="00A47200">
        <w:rPr>
          <w:rFonts w:ascii="Times New Roman" w:hAnsi="Times New Roman" w:cs="Times New Roman"/>
          <w:sz w:val="28"/>
          <w:szCs w:val="28"/>
        </w:rPr>
        <w:t>tiek</w:t>
      </w:r>
      <w:r w:rsidRPr="00A47200">
        <w:rPr>
          <w:rFonts w:ascii="Times New Roman" w:hAnsi="Times New Roman" w:cs="Times New Roman"/>
          <w:sz w:val="28"/>
          <w:szCs w:val="28"/>
        </w:rPr>
        <w:t xml:space="preserve"> iegūt</w:t>
      </w:r>
      <w:r w:rsidR="002A7A1B" w:rsidRPr="00A47200">
        <w:rPr>
          <w:rFonts w:ascii="Times New Roman" w:hAnsi="Times New Roman" w:cs="Times New Roman"/>
          <w:sz w:val="28"/>
          <w:szCs w:val="28"/>
        </w:rPr>
        <w:t>a</w:t>
      </w:r>
      <w:r w:rsidRPr="00A47200">
        <w:rPr>
          <w:rFonts w:ascii="Times New Roman" w:hAnsi="Times New Roman" w:cs="Times New Roman"/>
          <w:sz w:val="28"/>
          <w:szCs w:val="28"/>
        </w:rPr>
        <w:t xml:space="preserve"> uzņēmumu peļņas vai zaudējumu pārskatos uzrādīt</w:t>
      </w:r>
      <w:r w:rsidR="002A7A1B" w:rsidRPr="00A47200">
        <w:rPr>
          <w:rFonts w:ascii="Times New Roman" w:hAnsi="Times New Roman" w:cs="Times New Roman"/>
          <w:sz w:val="28"/>
          <w:szCs w:val="28"/>
        </w:rPr>
        <w:t>ā</w:t>
      </w:r>
      <w:r w:rsidRPr="00A47200">
        <w:rPr>
          <w:rFonts w:ascii="Times New Roman" w:hAnsi="Times New Roman" w:cs="Times New Roman"/>
          <w:sz w:val="28"/>
          <w:szCs w:val="28"/>
        </w:rPr>
        <w:t xml:space="preserve"> informācij</w:t>
      </w:r>
      <w:r w:rsidR="002A7A1B" w:rsidRPr="00A47200">
        <w:rPr>
          <w:rFonts w:ascii="Times New Roman" w:hAnsi="Times New Roman" w:cs="Times New Roman"/>
          <w:sz w:val="28"/>
          <w:szCs w:val="28"/>
        </w:rPr>
        <w:t>a</w:t>
      </w:r>
      <w:r w:rsidRPr="00A47200">
        <w:rPr>
          <w:rFonts w:ascii="Times New Roman" w:hAnsi="Times New Roman" w:cs="Times New Roman"/>
          <w:sz w:val="28"/>
          <w:szCs w:val="28"/>
        </w:rPr>
        <w:t xml:space="preserve"> par izmaksu apjomu, kas noteikta vai nu pēc apgrozījuma vai perioda izmaksu metodes.</w:t>
      </w:r>
      <w:r w:rsidR="003B1556" w:rsidRPr="00A47200">
        <w:rPr>
          <w:rFonts w:ascii="Times New Roman" w:hAnsi="Times New Roman" w:cs="Times New Roman"/>
          <w:sz w:val="28"/>
          <w:szCs w:val="28"/>
        </w:rPr>
        <w:t xml:space="preserve"> Šie iegūtie grāmatvedības uzskaites dati ne</w:t>
      </w:r>
      <w:r w:rsidR="00187A66" w:rsidRPr="00A47200">
        <w:rPr>
          <w:rFonts w:ascii="Times New Roman" w:hAnsi="Times New Roman" w:cs="Times New Roman"/>
          <w:sz w:val="28"/>
          <w:szCs w:val="28"/>
        </w:rPr>
        <w:t>atbilst</w:t>
      </w:r>
      <w:r w:rsidRPr="00A47200">
        <w:rPr>
          <w:rFonts w:ascii="Times New Roman" w:hAnsi="Times New Roman" w:cs="Times New Roman"/>
          <w:sz w:val="28"/>
          <w:szCs w:val="28"/>
        </w:rPr>
        <w:t xml:space="preserve"> </w:t>
      </w:r>
      <w:r w:rsidR="00AF677E" w:rsidRPr="00A47200">
        <w:rPr>
          <w:rFonts w:ascii="Times New Roman" w:hAnsi="Times New Roman" w:cs="Times New Roman"/>
          <w:sz w:val="28"/>
          <w:szCs w:val="28"/>
        </w:rPr>
        <w:t xml:space="preserve">nacionālo kontu </w:t>
      </w:r>
      <w:r w:rsidR="003B1556" w:rsidRPr="00A47200">
        <w:rPr>
          <w:rFonts w:ascii="Times New Roman" w:hAnsi="Times New Roman" w:cs="Times New Roman"/>
          <w:sz w:val="28"/>
          <w:szCs w:val="28"/>
        </w:rPr>
        <w:t>sistēmas metodoloģijā noteiktajiem</w:t>
      </w:r>
      <w:r w:rsidR="00AF677E" w:rsidRPr="00A47200">
        <w:rPr>
          <w:rFonts w:ascii="Times New Roman" w:hAnsi="Times New Roman" w:cs="Times New Roman"/>
          <w:sz w:val="28"/>
          <w:szCs w:val="28"/>
        </w:rPr>
        <w:t xml:space="preserve"> </w:t>
      </w:r>
      <w:r w:rsidR="003B1556" w:rsidRPr="00A47200">
        <w:rPr>
          <w:rFonts w:ascii="Times New Roman" w:hAnsi="Times New Roman" w:cs="Times New Roman"/>
          <w:sz w:val="28"/>
          <w:szCs w:val="28"/>
        </w:rPr>
        <w:t>PV aprēķinam nepieciešamajiem datiem, jo pastāv atšķirības to definīcijās.</w:t>
      </w:r>
      <w:r w:rsidR="0048252E" w:rsidRPr="00A47200">
        <w:rPr>
          <w:rFonts w:ascii="Times New Roman" w:hAnsi="Times New Roman" w:cs="Times New Roman"/>
          <w:sz w:val="28"/>
          <w:szCs w:val="28"/>
        </w:rPr>
        <w:t xml:space="preserve"> Piemēram, izdevumus par ilgtermiņa līgumiem, nomas līgumiem un licencēm, arī </w:t>
      </w:r>
      <w:r w:rsidR="0048252E" w:rsidRPr="00A47200">
        <w:rPr>
          <w:rFonts w:ascii="Times New Roman" w:eastAsia="Times New Roman" w:hAnsi="Times New Roman" w:cs="Times New Roman"/>
          <w:color w:val="1A171C"/>
          <w:sz w:val="28"/>
          <w:szCs w:val="28"/>
        </w:rPr>
        <w:t>maksājumus</w:t>
      </w:r>
      <w:r w:rsidR="0048252E" w:rsidRPr="00A47200">
        <w:rPr>
          <w:rFonts w:ascii="Times New Roman" w:eastAsia="Times New Roman" w:hAnsi="Times New Roman" w:cs="Times New Roman"/>
          <w:color w:val="1A171C"/>
          <w:spacing w:val="-3"/>
          <w:sz w:val="28"/>
          <w:szCs w:val="28"/>
        </w:rPr>
        <w:t xml:space="preserve"> </w:t>
      </w:r>
      <w:r w:rsidR="0048252E" w:rsidRPr="00A47200">
        <w:rPr>
          <w:rFonts w:ascii="Times New Roman" w:eastAsia="Times New Roman" w:hAnsi="Times New Roman" w:cs="Times New Roman"/>
          <w:color w:val="1A171C"/>
          <w:sz w:val="28"/>
          <w:szCs w:val="28"/>
        </w:rPr>
        <w:t>par</w:t>
      </w:r>
      <w:r w:rsidR="0048252E" w:rsidRPr="00A47200">
        <w:rPr>
          <w:rFonts w:ascii="Times New Roman" w:eastAsia="Times New Roman" w:hAnsi="Times New Roman" w:cs="Times New Roman"/>
          <w:color w:val="1A171C"/>
          <w:spacing w:val="21"/>
          <w:sz w:val="28"/>
          <w:szCs w:val="28"/>
        </w:rPr>
        <w:t xml:space="preserve"> </w:t>
      </w:r>
      <w:r w:rsidR="0048252E" w:rsidRPr="00A47200">
        <w:rPr>
          <w:rFonts w:ascii="Times New Roman" w:eastAsia="Times New Roman" w:hAnsi="Times New Roman" w:cs="Times New Roman"/>
          <w:color w:val="1A171C"/>
          <w:sz w:val="28"/>
          <w:szCs w:val="28"/>
        </w:rPr>
        <w:t>val</w:t>
      </w:r>
      <w:r w:rsidR="0048252E" w:rsidRPr="00A47200">
        <w:rPr>
          <w:rFonts w:ascii="Times New Roman" w:eastAsia="Times New Roman" w:hAnsi="Times New Roman" w:cs="Times New Roman"/>
          <w:color w:val="1A171C"/>
          <w:spacing w:val="-1"/>
          <w:sz w:val="28"/>
          <w:szCs w:val="28"/>
        </w:rPr>
        <w:t>dī</w:t>
      </w:r>
      <w:r w:rsidR="0048252E" w:rsidRPr="00A47200">
        <w:rPr>
          <w:rFonts w:ascii="Times New Roman" w:eastAsia="Times New Roman" w:hAnsi="Times New Roman" w:cs="Times New Roman"/>
          <w:color w:val="1A171C"/>
          <w:sz w:val="28"/>
          <w:szCs w:val="28"/>
        </w:rPr>
        <w:t>bas</w:t>
      </w:r>
      <w:r w:rsidR="0048252E" w:rsidRPr="00A47200">
        <w:rPr>
          <w:rFonts w:ascii="Times New Roman" w:eastAsia="Times New Roman" w:hAnsi="Times New Roman" w:cs="Times New Roman"/>
          <w:color w:val="1A171C"/>
          <w:spacing w:val="-13"/>
          <w:sz w:val="28"/>
          <w:szCs w:val="28"/>
        </w:rPr>
        <w:t xml:space="preserve"> </w:t>
      </w:r>
      <w:r w:rsidR="0048252E" w:rsidRPr="00A47200">
        <w:rPr>
          <w:rFonts w:ascii="Times New Roman" w:eastAsia="Times New Roman" w:hAnsi="Times New Roman" w:cs="Times New Roman"/>
          <w:color w:val="1A171C"/>
          <w:sz w:val="28"/>
          <w:szCs w:val="28"/>
        </w:rPr>
        <w:t>licen</w:t>
      </w:r>
      <w:r w:rsidR="0048252E" w:rsidRPr="00A47200">
        <w:rPr>
          <w:rFonts w:ascii="Times New Roman" w:eastAsia="Times New Roman" w:hAnsi="Times New Roman" w:cs="Times New Roman"/>
          <w:color w:val="1A171C"/>
          <w:spacing w:val="-1"/>
          <w:sz w:val="28"/>
          <w:szCs w:val="28"/>
        </w:rPr>
        <w:t>c</w:t>
      </w:r>
      <w:r w:rsidR="0048252E" w:rsidRPr="00A47200">
        <w:rPr>
          <w:rFonts w:ascii="Times New Roman" w:eastAsia="Times New Roman" w:hAnsi="Times New Roman" w:cs="Times New Roman"/>
          <w:color w:val="1A171C"/>
          <w:sz w:val="28"/>
          <w:szCs w:val="28"/>
        </w:rPr>
        <w:t>ēm</w:t>
      </w:r>
      <w:r w:rsidR="0048252E" w:rsidRPr="00A47200">
        <w:rPr>
          <w:rFonts w:ascii="Times New Roman" w:eastAsia="Times New Roman" w:hAnsi="Times New Roman" w:cs="Times New Roman"/>
          <w:color w:val="1A171C"/>
          <w:spacing w:val="-8"/>
          <w:sz w:val="28"/>
          <w:szCs w:val="28"/>
        </w:rPr>
        <w:t xml:space="preserve"> </w:t>
      </w:r>
      <w:r w:rsidR="0048252E" w:rsidRPr="00A47200">
        <w:rPr>
          <w:rFonts w:ascii="Times New Roman" w:eastAsia="Times New Roman" w:hAnsi="Times New Roman" w:cs="Times New Roman"/>
          <w:color w:val="1A171C"/>
          <w:sz w:val="28"/>
          <w:szCs w:val="28"/>
        </w:rPr>
        <w:t>un</w:t>
      </w:r>
      <w:r w:rsidR="0048252E" w:rsidRPr="00A47200">
        <w:rPr>
          <w:rFonts w:ascii="Times New Roman" w:eastAsia="Times New Roman" w:hAnsi="Times New Roman" w:cs="Times New Roman"/>
          <w:color w:val="1A171C"/>
          <w:spacing w:val="29"/>
          <w:sz w:val="28"/>
          <w:szCs w:val="28"/>
        </w:rPr>
        <w:t xml:space="preserve"> </w:t>
      </w:r>
      <w:r w:rsidR="0048252E" w:rsidRPr="00A47200">
        <w:rPr>
          <w:rFonts w:ascii="Times New Roman" w:eastAsia="Times New Roman" w:hAnsi="Times New Roman" w:cs="Times New Roman"/>
          <w:color w:val="1A171C"/>
          <w:sz w:val="28"/>
          <w:szCs w:val="28"/>
        </w:rPr>
        <w:t>maksu,</w:t>
      </w:r>
      <w:r w:rsidR="0048252E" w:rsidRPr="00A47200">
        <w:rPr>
          <w:rFonts w:ascii="Times New Roman" w:eastAsia="Times New Roman" w:hAnsi="Times New Roman" w:cs="Times New Roman"/>
          <w:color w:val="1A171C"/>
          <w:spacing w:val="3"/>
          <w:sz w:val="28"/>
          <w:szCs w:val="28"/>
        </w:rPr>
        <w:t xml:space="preserve"> </w:t>
      </w:r>
      <w:r w:rsidR="0048252E" w:rsidRPr="00A47200">
        <w:rPr>
          <w:rFonts w:ascii="Times New Roman" w:eastAsia="Times New Roman" w:hAnsi="Times New Roman" w:cs="Times New Roman"/>
          <w:color w:val="1A171C"/>
          <w:sz w:val="28"/>
          <w:szCs w:val="28"/>
        </w:rPr>
        <w:t>ko</w:t>
      </w:r>
      <w:r w:rsidR="0048252E" w:rsidRPr="00A47200">
        <w:rPr>
          <w:rFonts w:ascii="Times New Roman" w:eastAsia="Times New Roman" w:hAnsi="Times New Roman" w:cs="Times New Roman"/>
          <w:color w:val="1A171C"/>
          <w:spacing w:val="24"/>
          <w:sz w:val="28"/>
          <w:szCs w:val="28"/>
        </w:rPr>
        <w:t xml:space="preserve"> u</w:t>
      </w:r>
      <w:r w:rsidR="0048252E" w:rsidRPr="00A47200">
        <w:rPr>
          <w:rFonts w:ascii="Times New Roman" w:eastAsia="Times New Roman" w:hAnsi="Times New Roman" w:cs="Times New Roman"/>
          <w:color w:val="1A171C"/>
          <w:sz w:val="28"/>
          <w:szCs w:val="28"/>
        </w:rPr>
        <w:t>zskata</w:t>
      </w:r>
      <w:r w:rsidR="0048252E" w:rsidRPr="00A47200">
        <w:rPr>
          <w:rFonts w:ascii="Times New Roman" w:eastAsia="Times New Roman" w:hAnsi="Times New Roman" w:cs="Times New Roman"/>
          <w:color w:val="1A171C"/>
          <w:spacing w:val="8"/>
          <w:sz w:val="28"/>
          <w:szCs w:val="28"/>
        </w:rPr>
        <w:t xml:space="preserve"> </w:t>
      </w:r>
      <w:r w:rsidR="0048252E" w:rsidRPr="00A47200">
        <w:rPr>
          <w:rFonts w:ascii="Times New Roman" w:eastAsia="Times New Roman" w:hAnsi="Times New Roman" w:cs="Times New Roman"/>
          <w:color w:val="1A171C"/>
          <w:sz w:val="28"/>
          <w:szCs w:val="28"/>
        </w:rPr>
        <w:t>par</w:t>
      </w:r>
      <w:r w:rsidR="0048252E" w:rsidRPr="00A47200">
        <w:rPr>
          <w:rFonts w:ascii="Times New Roman" w:eastAsia="Times New Roman" w:hAnsi="Times New Roman" w:cs="Times New Roman"/>
          <w:color w:val="1A171C"/>
          <w:spacing w:val="22"/>
          <w:sz w:val="28"/>
          <w:szCs w:val="28"/>
        </w:rPr>
        <w:t xml:space="preserve"> </w:t>
      </w:r>
      <w:r w:rsidR="0048252E" w:rsidRPr="00A47200">
        <w:rPr>
          <w:rFonts w:ascii="Times New Roman" w:eastAsia="Times New Roman" w:hAnsi="Times New Roman" w:cs="Times New Roman"/>
          <w:color w:val="1A171C"/>
          <w:sz w:val="28"/>
          <w:szCs w:val="28"/>
        </w:rPr>
        <w:t>citiem</w:t>
      </w:r>
      <w:r w:rsidR="0048252E" w:rsidRPr="00A47200">
        <w:rPr>
          <w:rFonts w:ascii="Times New Roman" w:eastAsia="Times New Roman" w:hAnsi="Times New Roman" w:cs="Times New Roman"/>
          <w:color w:val="1A171C"/>
          <w:spacing w:val="2"/>
          <w:sz w:val="28"/>
          <w:szCs w:val="28"/>
        </w:rPr>
        <w:t xml:space="preserve"> </w:t>
      </w:r>
      <w:r w:rsidR="0048252E" w:rsidRPr="00A47200">
        <w:rPr>
          <w:rFonts w:ascii="Times New Roman" w:eastAsia="Times New Roman" w:hAnsi="Times New Roman" w:cs="Times New Roman"/>
          <w:color w:val="1A171C"/>
          <w:sz w:val="28"/>
          <w:szCs w:val="28"/>
        </w:rPr>
        <w:t>r</w:t>
      </w:r>
      <w:r w:rsidR="0048252E" w:rsidRPr="00A47200">
        <w:rPr>
          <w:rFonts w:ascii="Times New Roman" w:eastAsia="Times New Roman" w:hAnsi="Times New Roman" w:cs="Times New Roman"/>
          <w:color w:val="1A171C"/>
          <w:spacing w:val="-1"/>
          <w:sz w:val="28"/>
          <w:szCs w:val="28"/>
        </w:rPr>
        <w:t>a</w:t>
      </w:r>
      <w:r w:rsidR="0048252E" w:rsidRPr="00A47200">
        <w:rPr>
          <w:rFonts w:ascii="Times New Roman" w:eastAsia="Times New Roman" w:hAnsi="Times New Roman" w:cs="Times New Roman"/>
          <w:color w:val="1A171C"/>
          <w:spacing w:val="1"/>
          <w:sz w:val="28"/>
          <w:szCs w:val="28"/>
        </w:rPr>
        <w:t>ž</w:t>
      </w:r>
      <w:r w:rsidR="0048252E" w:rsidRPr="00A47200">
        <w:rPr>
          <w:rFonts w:ascii="Times New Roman" w:eastAsia="Times New Roman" w:hAnsi="Times New Roman" w:cs="Times New Roman"/>
          <w:color w:val="1A171C"/>
          <w:spacing w:val="-1"/>
          <w:sz w:val="28"/>
          <w:szCs w:val="28"/>
        </w:rPr>
        <w:t>o</w:t>
      </w:r>
      <w:r w:rsidR="0048252E" w:rsidRPr="00A47200">
        <w:rPr>
          <w:rFonts w:ascii="Times New Roman" w:eastAsia="Times New Roman" w:hAnsi="Times New Roman" w:cs="Times New Roman"/>
          <w:color w:val="1A171C"/>
          <w:sz w:val="28"/>
          <w:szCs w:val="28"/>
        </w:rPr>
        <w:t>šanas</w:t>
      </w:r>
      <w:r w:rsidR="0048252E" w:rsidRPr="00A47200">
        <w:rPr>
          <w:rFonts w:ascii="Times New Roman" w:eastAsia="Times New Roman" w:hAnsi="Times New Roman" w:cs="Times New Roman"/>
          <w:color w:val="1A171C"/>
          <w:spacing w:val="4"/>
          <w:sz w:val="28"/>
          <w:szCs w:val="28"/>
        </w:rPr>
        <w:t xml:space="preserve"> </w:t>
      </w:r>
      <w:r w:rsidR="0048252E" w:rsidRPr="00A47200">
        <w:rPr>
          <w:rFonts w:ascii="Times New Roman" w:eastAsia="Times New Roman" w:hAnsi="Times New Roman" w:cs="Times New Roman"/>
          <w:color w:val="1A171C"/>
          <w:sz w:val="28"/>
          <w:szCs w:val="28"/>
        </w:rPr>
        <w:t>nodo</w:t>
      </w:r>
      <w:r w:rsidR="0048252E" w:rsidRPr="00A47200">
        <w:rPr>
          <w:rFonts w:ascii="Times New Roman" w:eastAsia="Times New Roman" w:hAnsi="Times New Roman" w:cs="Times New Roman"/>
          <w:color w:val="1A171C"/>
          <w:spacing w:val="1"/>
          <w:sz w:val="28"/>
          <w:szCs w:val="28"/>
        </w:rPr>
        <w:t>k</w:t>
      </w:r>
      <w:r w:rsidR="0048252E" w:rsidRPr="00A47200">
        <w:rPr>
          <w:rFonts w:ascii="Times New Roman" w:eastAsia="Times New Roman" w:hAnsi="Times New Roman" w:cs="Times New Roman"/>
          <w:color w:val="1A171C"/>
          <w:sz w:val="28"/>
          <w:szCs w:val="28"/>
        </w:rPr>
        <w:t xml:space="preserve">ļiem, tāpat arī virkni citu izdevumu EKS 2010 metodoloģija paredz neiekļaut starppatēriņā, bet esošā nacionālā likumdošana grāmatvedības uzskaites jautājumos </w:t>
      </w:r>
      <w:r w:rsidR="00641C94">
        <w:rPr>
          <w:rFonts w:ascii="Times New Roman" w:eastAsia="Times New Roman" w:hAnsi="Times New Roman" w:cs="Times New Roman"/>
          <w:color w:val="1A171C"/>
          <w:sz w:val="28"/>
          <w:szCs w:val="28"/>
        </w:rPr>
        <w:t xml:space="preserve">ļauj </w:t>
      </w:r>
      <w:bookmarkStart w:id="0" w:name="_GoBack"/>
      <w:bookmarkEnd w:id="0"/>
      <w:r w:rsidR="0048252E" w:rsidRPr="00A47200">
        <w:rPr>
          <w:rFonts w:ascii="Times New Roman" w:eastAsia="Times New Roman" w:hAnsi="Times New Roman" w:cs="Times New Roman"/>
          <w:color w:val="1A171C"/>
          <w:sz w:val="28"/>
          <w:szCs w:val="28"/>
        </w:rPr>
        <w:t>uzskatīt par pārdotās produkcijas ražošanas izmaksām vai arī iekļaut citā peļņas vai zaudējumu aprēķina postenī, kas raksturo citus kārtējos izdevumus.</w:t>
      </w:r>
      <w:r w:rsidR="00FC6048" w:rsidRPr="00A47200">
        <w:rPr>
          <w:rFonts w:ascii="Times New Roman" w:hAnsi="Times New Roman" w:cs="Times New Roman"/>
          <w:sz w:val="28"/>
          <w:szCs w:val="28"/>
        </w:rPr>
        <w:t xml:space="preserve"> </w:t>
      </w:r>
      <w:r w:rsidR="00E13297" w:rsidRPr="00A47200">
        <w:rPr>
          <w:rFonts w:ascii="Times New Roman" w:hAnsi="Times New Roman" w:cs="Times New Roman"/>
          <w:sz w:val="28"/>
          <w:szCs w:val="28"/>
        </w:rPr>
        <w:t xml:space="preserve">Tāda pati </w:t>
      </w:r>
      <w:r w:rsidR="00AF677E" w:rsidRPr="00A47200">
        <w:rPr>
          <w:rFonts w:ascii="Times New Roman" w:hAnsi="Times New Roman" w:cs="Times New Roman"/>
          <w:sz w:val="28"/>
          <w:szCs w:val="28"/>
        </w:rPr>
        <w:t>problēma pilnā mērā ir attiecināma arī uz informācijas masīvu, kas tiek saņemts no Valsts ieņēmumu dienesta un raksturo fondu, no</w:t>
      </w:r>
      <w:r w:rsidR="00F968B1" w:rsidRPr="00A47200">
        <w:rPr>
          <w:rFonts w:ascii="Times New Roman" w:hAnsi="Times New Roman" w:cs="Times New Roman"/>
          <w:sz w:val="28"/>
          <w:szCs w:val="28"/>
        </w:rPr>
        <w:t>dibinājumu un biedrību darbību.</w:t>
      </w:r>
    </w:p>
    <w:p w:rsidR="00EA14E0" w:rsidRPr="00A47200" w:rsidRDefault="00EA14E0" w:rsidP="00A47200">
      <w:pPr>
        <w:pStyle w:val="Default"/>
        <w:spacing w:before="100" w:beforeAutospacing="1" w:after="100" w:afterAutospacing="1"/>
        <w:ind w:firstLine="720"/>
        <w:jc w:val="both"/>
        <w:rPr>
          <w:rFonts w:ascii="Times New Roman" w:hAnsi="Times New Roman" w:cs="Times New Roman"/>
          <w:color w:val="auto"/>
          <w:sz w:val="28"/>
          <w:szCs w:val="28"/>
        </w:rPr>
      </w:pPr>
      <w:r w:rsidRPr="00A47200">
        <w:rPr>
          <w:rFonts w:ascii="Times New Roman" w:hAnsi="Times New Roman" w:cs="Times New Roman"/>
          <w:sz w:val="28"/>
          <w:szCs w:val="28"/>
        </w:rPr>
        <w:t xml:space="preserve">Valsts un pašvaldību </w:t>
      </w:r>
      <w:r w:rsidR="002A7A1B" w:rsidRPr="00A47200">
        <w:rPr>
          <w:rFonts w:ascii="Times New Roman" w:hAnsi="Times New Roman" w:cs="Times New Roman"/>
          <w:sz w:val="28"/>
          <w:szCs w:val="28"/>
        </w:rPr>
        <w:t xml:space="preserve">iestāžu </w:t>
      </w:r>
      <w:r w:rsidRPr="00A47200">
        <w:rPr>
          <w:rFonts w:ascii="Times New Roman" w:hAnsi="Times New Roman" w:cs="Times New Roman"/>
          <w:sz w:val="28"/>
          <w:szCs w:val="28"/>
        </w:rPr>
        <w:t xml:space="preserve">iesniegto pārskatu 2-gada sastāvā ietilpst pirkto pakalpojumu sadalījums pa saimnieciskās darbības nozarēm, tomēr arī tas nenodrošina pilnu starppatēriņa lieluma noteikšanai </w:t>
      </w:r>
      <w:r w:rsidR="00AF677E" w:rsidRPr="00A47200">
        <w:rPr>
          <w:rFonts w:ascii="Times New Roman" w:hAnsi="Times New Roman" w:cs="Times New Roman"/>
          <w:sz w:val="28"/>
          <w:szCs w:val="28"/>
        </w:rPr>
        <w:t>nepieciešamo informācijas apjomu.</w:t>
      </w:r>
    </w:p>
    <w:p w:rsidR="00AF677E" w:rsidRPr="00A47200" w:rsidRDefault="00AF677E" w:rsidP="00A47200">
      <w:pPr>
        <w:pStyle w:val="Default"/>
        <w:spacing w:before="100" w:beforeAutospacing="1" w:after="100" w:afterAutospacing="1"/>
        <w:ind w:firstLine="720"/>
        <w:jc w:val="center"/>
        <w:rPr>
          <w:rFonts w:ascii="Times New Roman" w:hAnsi="Times New Roman" w:cs="Times New Roman"/>
          <w:color w:val="auto"/>
          <w:sz w:val="28"/>
          <w:szCs w:val="28"/>
          <w:u w:val="single"/>
        </w:rPr>
      </w:pPr>
      <w:r w:rsidRPr="00A47200">
        <w:rPr>
          <w:rFonts w:ascii="Times New Roman" w:hAnsi="Times New Roman" w:cs="Times New Roman"/>
          <w:color w:val="auto"/>
          <w:sz w:val="28"/>
          <w:szCs w:val="28"/>
          <w:u w:val="single"/>
        </w:rPr>
        <w:t>3.1.4. P</w:t>
      </w:r>
      <w:r w:rsidR="00E76D81" w:rsidRPr="00A47200">
        <w:rPr>
          <w:rFonts w:ascii="Times New Roman" w:hAnsi="Times New Roman" w:cs="Times New Roman"/>
          <w:color w:val="auto"/>
          <w:sz w:val="28"/>
          <w:szCs w:val="28"/>
          <w:u w:val="single"/>
        </w:rPr>
        <w:t>V</w:t>
      </w:r>
      <w:r w:rsidRPr="00A47200">
        <w:rPr>
          <w:rFonts w:ascii="Times New Roman" w:hAnsi="Times New Roman" w:cs="Times New Roman"/>
          <w:color w:val="auto"/>
          <w:sz w:val="28"/>
          <w:szCs w:val="28"/>
          <w:u w:val="single"/>
        </w:rPr>
        <w:t xml:space="preserve"> aprēķinos lietotie pieņēmumi</w:t>
      </w:r>
    </w:p>
    <w:p w:rsidR="00656AF1" w:rsidRPr="00A47200" w:rsidRDefault="009F7139" w:rsidP="00A47200">
      <w:pPr>
        <w:pStyle w:val="Default"/>
        <w:spacing w:before="100" w:beforeAutospacing="1" w:after="100" w:afterAutospacing="1"/>
        <w:ind w:firstLine="720"/>
        <w:jc w:val="both"/>
        <w:rPr>
          <w:rFonts w:ascii="Times New Roman" w:hAnsi="Times New Roman" w:cs="Times New Roman"/>
          <w:color w:val="auto"/>
          <w:sz w:val="28"/>
          <w:szCs w:val="28"/>
        </w:rPr>
      </w:pPr>
      <w:r w:rsidRPr="00A47200">
        <w:rPr>
          <w:rFonts w:ascii="Times New Roman" w:hAnsi="Times New Roman" w:cs="Times New Roman"/>
          <w:sz w:val="28"/>
          <w:szCs w:val="28"/>
        </w:rPr>
        <w:t>Valsts</w:t>
      </w:r>
      <w:r w:rsidR="004700FD" w:rsidRPr="00A47200">
        <w:rPr>
          <w:rFonts w:ascii="Times New Roman" w:hAnsi="Times New Roman" w:cs="Times New Roman"/>
          <w:sz w:val="28"/>
          <w:szCs w:val="28"/>
        </w:rPr>
        <w:t xml:space="preserve"> līmenī pieejamo informāciju PV aprēķinam </w:t>
      </w:r>
      <w:r w:rsidR="00656AF1" w:rsidRPr="00A47200">
        <w:rPr>
          <w:rFonts w:ascii="Times New Roman" w:hAnsi="Times New Roman" w:cs="Times New Roman"/>
          <w:sz w:val="28"/>
          <w:szCs w:val="28"/>
        </w:rPr>
        <w:t xml:space="preserve">sadala pa teritorijām un darbības veidiem, balstoties uz </w:t>
      </w:r>
      <w:r w:rsidR="00D94BEB" w:rsidRPr="00A47200">
        <w:rPr>
          <w:rFonts w:ascii="Times New Roman" w:hAnsi="Times New Roman" w:cs="Times New Roman"/>
          <w:sz w:val="28"/>
          <w:szCs w:val="28"/>
        </w:rPr>
        <w:t xml:space="preserve">šajā </w:t>
      </w:r>
      <w:r w:rsidR="00656AF1" w:rsidRPr="00A47200">
        <w:rPr>
          <w:rFonts w:ascii="Times New Roman" w:hAnsi="Times New Roman" w:cs="Times New Roman"/>
          <w:sz w:val="28"/>
          <w:szCs w:val="28"/>
        </w:rPr>
        <w:t>apakšsadaļā norādīto metodoloģiju (pieņēmumiem).</w:t>
      </w:r>
    </w:p>
    <w:p w:rsidR="00AF677E" w:rsidRPr="00A47200" w:rsidRDefault="00AF677E" w:rsidP="00A47200">
      <w:pPr>
        <w:pStyle w:val="Default"/>
        <w:spacing w:before="100" w:beforeAutospacing="1"/>
        <w:ind w:firstLine="720"/>
        <w:jc w:val="both"/>
        <w:rPr>
          <w:rFonts w:ascii="Times New Roman" w:hAnsi="Times New Roman" w:cs="Times New Roman"/>
          <w:color w:val="auto"/>
          <w:sz w:val="28"/>
          <w:szCs w:val="28"/>
        </w:rPr>
      </w:pPr>
      <w:r w:rsidRPr="00A47200">
        <w:rPr>
          <w:rFonts w:ascii="Times New Roman" w:hAnsi="Times New Roman" w:cs="Times New Roman"/>
          <w:color w:val="auto"/>
          <w:sz w:val="28"/>
          <w:szCs w:val="28"/>
        </w:rPr>
        <w:t xml:space="preserve">IKP un PV aprēķins gan valsts, gan jebkādā zemākā reģionālā vai teritoriālā līmenī lielā mērā balstās uz vieniem un tiem pašiem datu avotiem. Tā kā </w:t>
      </w:r>
      <w:r w:rsidR="00532B0D" w:rsidRPr="00A47200">
        <w:rPr>
          <w:rFonts w:ascii="Times New Roman" w:hAnsi="Times New Roman" w:cs="Times New Roman"/>
          <w:color w:val="auto"/>
          <w:sz w:val="28"/>
          <w:szCs w:val="28"/>
        </w:rPr>
        <w:t xml:space="preserve">Latvijā </w:t>
      </w:r>
      <w:r w:rsidRPr="00A47200">
        <w:rPr>
          <w:rFonts w:ascii="Times New Roman" w:hAnsi="Times New Roman" w:cs="Times New Roman"/>
          <w:color w:val="auto"/>
          <w:sz w:val="28"/>
          <w:szCs w:val="28"/>
        </w:rPr>
        <w:t>n</w:t>
      </w:r>
      <w:r w:rsidR="00532B0D" w:rsidRPr="00A47200">
        <w:rPr>
          <w:rFonts w:ascii="Times New Roman" w:hAnsi="Times New Roman" w:cs="Times New Roman"/>
          <w:color w:val="auto"/>
          <w:sz w:val="28"/>
          <w:szCs w:val="28"/>
        </w:rPr>
        <w:t>av pieejami</w:t>
      </w:r>
      <w:r w:rsidRPr="00A47200">
        <w:rPr>
          <w:rFonts w:ascii="Times New Roman" w:hAnsi="Times New Roman" w:cs="Times New Roman"/>
          <w:color w:val="auto"/>
          <w:sz w:val="28"/>
          <w:szCs w:val="28"/>
        </w:rPr>
        <w:t xml:space="preserve"> dati, lai veiktu precīzu PV un tālāk </w:t>
      </w:r>
      <w:r w:rsidR="0073394C" w:rsidRPr="00A47200">
        <w:rPr>
          <w:rFonts w:ascii="Times New Roman" w:hAnsi="Times New Roman" w:cs="Times New Roman"/>
          <w:color w:val="auto"/>
          <w:sz w:val="28"/>
          <w:szCs w:val="28"/>
        </w:rPr>
        <w:t>–</w:t>
      </w:r>
      <w:r w:rsidRPr="00A47200">
        <w:rPr>
          <w:rFonts w:ascii="Times New Roman" w:hAnsi="Times New Roman" w:cs="Times New Roman"/>
          <w:color w:val="auto"/>
          <w:sz w:val="28"/>
          <w:szCs w:val="28"/>
        </w:rPr>
        <w:t xml:space="preserve"> IKP </w:t>
      </w:r>
      <w:r w:rsidR="002A7A1B" w:rsidRPr="00A47200">
        <w:rPr>
          <w:rFonts w:ascii="Times New Roman" w:hAnsi="Times New Roman" w:cs="Times New Roman"/>
          <w:color w:val="auto"/>
          <w:sz w:val="28"/>
          <w:szCs w:val="28"/>
        </w:rPr>
        <w:t xml:space="preserve">attiecināšanu uz </w:t>
      </w:r>
      <w:r w:rsidRPr="00A47200">
        <w:rPr>
          <w:rFonts w:ascii="Times New Roman" w:hAnsi="Times New Roman" w:cs="Times New Roman"/>
          <w:color w:val="auto"/>
          <w:sz w:val="28"/>
          <w:szCs w:val="28"/>
        </w:rPr>
        <w:t>reģioniem, tad aprēķinos tiek izmantoti šādi pieņēmumi:</w:t>
      </w:r>
    </w:p>
    <w:p w:rsidR="00AF677E" w:rsidRPr="00A47200" w:rsidRDefault="00AF677E" w:rsidP="00A47200">
      <w:pPr>
        <w:pStyle w:val="Default"/>
        <w:numPr>
          <w:ilvl w:val="0"/>
          <w:numId w:val="6"/>
        </w:numPr>
        <w:ind w:left="1418" w:hanging="284"/>
        <w:jc w:val="both"/>
        <w:rPr>
          <w:rFonts w:ascii="Times New Roman" w:hAnsi="Times New Roman" w:cs="Times New Roman"/>
          <w:color w:val="auto"/>
          <w:sz w:val="28"/>
          <w:szCs w:val="28"/>
        </w:rPr>
      </w:pPr>
      <w:r w:rsidRPr="00A47200">
        <w:rPr>
          <w:rFonts w:ascii="Times New Roman" w:hAnsi="Times New Roman" w:cs="Times New Roman"/>
          <w:color w:val="auto"/>
          <w:sz w:val="28"/>
          <w:szCs w:val="28"/>
        </w:rPr>
        <w:t xml:space="preserve">Ņemot vērā, ka starppatēriņu var novērtēt tikai visam uzņēmumam kopumā, </w:t>
      </w:r>
      <w:r w:rsidR="00E13297" w:rsidRPr="00A47200">
        <w:rPr>
          <w:rFonts w:ascii="Times New Roman" w:hAnsi="Times New Roman" w:cs="Times New Roman"/>
          <w:color w:val="auto"/>
          <w:sz w:val="28"/>
          <w:szCs w:val="28"/>
        </w:rPr>
        <w:t>un</w:t>
      </w:r>
      <w:r w:rsidRPr="00A47200">
        <w:rPr>
          <w:rFonts w:ascii="Times New Roman" w:hAnsi="Times New Roman" w:cs="Times New Roman"/>
          <w:color w:val="auto"/>
          <w:sz w:val="28"/>
          <w:szCs w:val="28"/>
        </w:rPr>
        <w:t xml:space="preserve"> nav pieejama informācija par starppatēriņu katram uzņēmuma darbības veidam, tad visās nozarēs starppatēriņš tiek aprēķināts proporcionāli katra k</w:t>
      </w:r>
      <w:r w:rsidR="0059155A" w:rsidRPr="00A47200">
        <w:rPr>
          <w:rFonts w:ascii="Times New Roman" w:hAnsi="Times New Roman" w:cs="Times New Roman"/>
          <w:color w:val="auto"/>
          <w:sz w:val="28"/>
          <w:szCs w:val="28"/>
        </w:rPr>
        <w:t>onkrētā darbības veida izlaidei;</w:t>
      </w:r>
    </w:p>
    <w:p w:rsidR="006B05EC" w:rsidRPr="00A47200" w:rsidRDefault="00E13297" w:rsidP="00A47200">
      <w:pPr>
        <w:pStyle w:val="ListParagraph"/>
        <w:numPr>
          <w:ilvl w:val="0"/>
          <w:numId w:val="4"/>
        </w:numPr>
        <w:spacing w:after="0" w:line="240" w:lineRule="auto"/>
        <w:ind w:left="1418" w:hanging="284"/>
        <w:jc w:val="both"/>
        <w:rPr>
          <w:rFonts w:ascii="Times New Roman" w:hAnsi="Times New Roman" w:cs="Times New Roman"/>
          <w:sz w:val="28"/>
          <w:szCs w:val="28"/>
        </w:rPr>
      </w:pPr>
      <w:r w:rsidRPr="00A47200">
        <w:rPr>
          <w:rFonts w:ascii="Times New Roman" w:eastAsia="Times New Roman" w:hAnsi="Times New Roman" w:cs="Times New Roman"/>
          <w:sz w:val="28"/>
          <w:szCs w:val="28"/>
          <w:bdr w:val="none" w:sz="0" w:space="0" w:color="auto" w:frame="1"/>
          <w:shd w:val="clear" w:color="auto" w:fill="FFFFFF"/>
          <w:lang w:eastAsia="lv-LV"/>
        </w:rPr>
        <w:lastRenderedPageBreak/>
        <w:t>Tā</w:t>
      </w:r>
      <w:r w:rsidR="006B05EC" w:rsidRPr="00A47200">
        <w:rPr>
          <w:rFonts w:ascii="Times New Roman" w:eastAsia="Times New Roman" w:hAnsi="Times New Roman" w:cs="Times New Roman"/>
          <w:sz w:val="28"/>
          <w:szCs w:val="28"/>
          <w:bdr w:val="none" w:sz="0" w:space="0" w:color="auto" w:frame="1"/>
          <w:shd w:val="clear" w:color="auto" w:fill="FFFFFF"/>
          <w:lang w:eastAsia="lv-LV"/>
        </w:rPr>
        <w:t xml:space="preserve"> k</w:t>
      </w:r>
      <w:r w:rsidRPr="00A47200">
        <w:rPr>
          <w:rFonts w:ascii="Times New Roman" w:eastAsia="Times New Roman" w:hAnsi="Times New Roman" w:cs="Times New Roman"/>
          <w:sz w:val="28"/>
          <w:szCs w:val="28"/>
          <w:bdr w:val="none" w:sz="0" w:space="0" w:color="auto" w:frame="1"/>
          <w:shd w:val="clear" w:color="auto" w:fill="FFFFFF"/>
          <w:lang w:eastAsia="lv-LV"/>
        </w:rPr>
        <w:t>ā</w:t>
      </w:r>
      <w:r w:rsidR="006B05EC" w:rsidRPr="00A47200">
        <w:rPr>
          <w:rFonts w:ascii="Times New Roman" w:eastAsia="Times New Roman" w:hAnsi="Times New Roman" w:cs="Times New Roman"/>
          <w:sz w:val="28"/>
          <w:szCs w:val="28"/>
          <w:bdr w:val="none" w:sz="0" w:space="0" w:color="auto" w:frame="1"/>
          <w:shd w:val="clear" w:color="auto" w:fill="FFFFFF"/>
          <w:lang w:eastAsia="lv-LV"/>
        </w:rPr>
        <w:t xml:space="preserve"> nav iespējams veikt precīzus PV aprēķinus </w:t>
      </w:r>
      <w:proofErr w:type="gramStart"/>
      <w:r w:rsidR="006B05EC" w:rsidRPr="00A47200">
        <w:rPr>
          <w:rFonts w:ascii="Times New Roman" w:eastAsia="Times New Roman" w:hAnsi="Times New Roman" w:cs="Times New Roman"/>
          <w:sz w:val="28"/>
          <w:szCs w:val="28"/>
          <w:bdr w:val="none" w:sz="0" w:space="0" w:color="auto" w:frame="1"/>
          <w:shd w:val="clear" w:color="auto" w:fill="FFFFFF"/>
          <w:lang w:eastAsia="lv-LV"/>
        </w:rPr>
        <w:t>uzņēmuma atsevišķu VDVV līmenī, uzņēmuma radītā</w:t>
      </w:r>
      <w:proofErr w:type="gramEnd"/>
      <w:r w:rsidR="006B05EC" w:rsidRPr="00A47200">
        <w:rPr>
          <w:rFonts w:ascii="Times New Roman" w:eastAsia="Times New Roman" w:hAnsi="Times New Roman" w:cs="Times New Roman"/>
          <w:sz w:val="28"/>
          <w:szCs w:val="28"/>
          <w:bdr w:val="none" w:sz="0" w:space="0" w:color="auto" w:frame="1"/>
          <w:shd w:val="clear" w:color="auto" w:fill="FFFFFF"/>
          <w:lang w:eastAsia="lv-LV"/>
        </w:rPr>
        <w:t xml:space="preserve"> PV tiek aprēķināta proporcionāli uzņēmuma norādītajam nodarbināto skaitam pa nozarēm attiecīgajā teritorijā. Šāda pieeja tiek rekomendēta reģionālo kontu metodoloģijā, bet vienlaikus tas var arī neatbilst patiesajai situācijai, piemēram, gadījumos, ja PV radīšanā tiešā veidā nav nepieciešama darbinieku klātbūtne (mobilo sakaru tīkli, automātiskās degvielas uzpildes stacijas u.tml.). Neskatoties uz to, ka PV šajā gadījumā tiks radīta visā valsts teritorijā, tā tiks pieskaitīta tai teritorijai, kur atradīsies uzņēmuma nodarbinātie – v</w:t>
      </w:r>
      <w:r w:rsidR="0059155A" w:rsidRPr="00A47200">
        <w:rPr>
          <w:rFonts w:ascii="Times New Roman" w:eastAsia="Times New Roman" w:hAnsi="Times New Roman" w:cs="Times New Roman"/>
          <w:sz w:val="28"/>
          <w:szCs w:val="28"/>
          <w:bdr w:val="none" w:sz="0" w:space="0" w:color="auto" w:frame="1"/>
          <w:shd w:val="clear" w:color="auto" w:fill="FFFFFF"/>
          <w:lang w:eastAsia="lv-LV"/>
        </w:rPr>
        <w:t>isdrīzāk biroja atrašanās vietā;</w:t>
      </w:r>
    </w:p>
    <w:p w:rsidR="00AF677E" w:rsidRPr="00A47200" w:rsidRDefault="00AB2972" w:rsidP="00A47200">
      <w:pPr>
        <w:pStyle w:val="ListParagraph"/>
        <w:numPr>
          <w:ilvl w:val="0"/>
          <w:numId w:val="4"/>
        </w:numPr>
        <w:spacing w:before="100" w:beforeAutospacing="1" w:after="100" w:afterAutospacing="1" w:line="240" w:lineRule="auto"/>
        <w:ind w:left="1418" w:hanging="284"/>
        <w:jc w:val="both"/>
        <w:rPr>
          <w:rFonts w:ascii="Times New Roman" w:hAnsi="Times New Roman" w:cs="Times New Roman"/>
          <w:sz w:val="28"/>
          <w:szCs w:val="28"/>
        </w:rPr>
      </w:pPr>
      <w:r w:rsidRPr="00A47200">
        <w:rPr>
          <w:rFonts w:ascii="Times New Roman" w:hAnsi="Times New Roman" w:cs="Times New Roman"/>
          <w:sz w:val="28"/>
          <w:szCs w:val="28"/>
        </w:rPr>
        <w:t>P</w:t>
      </w:r>
      <w:r w:rsidR="001B32DA" w:rsidRPr="00A47200">
        <w:rPr>
          <w:rFonts w:ascii="Times New Roman" w:hAnsi="Times New Roman" w:cs="Times New Roman"/>
          <w:sz w:val="28"/>
          <w:szCs w:val="28"/>
        </w:rPr>
        <w:t>ar s</w:t>
      </w:r>
      <w:r w:rsidR="00AF677E" w:rsidRPr="00A47200">
        <w:rPr>
          <w:rFonts w:ascii="Times New Roman" w:hAnsi="Times New Roman" w:cs="Times New Roman"/>
          <w:sz w:val="28"/>
          <w:szCs w:val="28"/>
        </w:rPr>
        <w:t xml:space="preserve">abiedrisko, reliģisko un politisko organizāciju PV aprēķini tiek veikti attiecīgajās nozarēs un dalīti pa reģioniem tikai un vienīgi pēc organizācijas </w:t>
      </w:r>
      <w:r w:rsidR="002A7A1B" w:rsidRPr="00A47200">
        <w:rPr>
          <w:rFonts w:ascii="Times New Roman" w:hAnsi="Times New Roman" w:cs="Times New Roman"/>
          <w:sz w:val="28"/>
          <w:szCs w:val="28"/>
        </w:rPr>
        <w:t>juridiskās</w:t>
      </w:r>
      <w:r w:rsidR="00AF677E" w:rsidRPr="00A47200">
        <w:rPr>
          <w:rFonts w:ascii="Times New Roman" w:hAnsi="Times New Roman" w:cs="Times New Roman"/>
          <w:sz w:val="28"/>
          <w:szCs w:val="28"/>
        </w:rPr>
        <w:t xml:space="preserve"> atrašanās vietas.</w:t>
      </w:r>
      <w:r w:rsidR="00656AF1" w:rsidRPr="00A47200">
        <w:rPr>
          <w:rFonts w:ascii="Times New Roman" w:hAnsi="Times New Roman" w:cs="Times New Roman"/>
          <w:sz w:val="28"/>
          <w:szCs w:val="28"/>
        </w:rPr>
        <w:t xml:space="preserve"> Piemēram, visas vairāk kā 100 Valsts ieņēmumu dienestā identificētās </w:t>
      </w:r>
      <w:r w:rsidR="00D94BEB" w:rsidRPr="00A47200">
        <w:rPr>
          <w:rFonts w:ascii="Times New Roman" w:hAnsi="Times New Roman" w:cs="Times New Roman"/>
          <w:sz w:val="28"/>
          <w:szCs w:val="28"/>
        </w:rPr>
        <w:t>Latvijas Sarkanā Krusta</w:t>
      </w:r>
      <w:r w:rsidR="00656AF1" w:rsidRPr="00A47200">
        <w:rPr>
          <w:rFonts w:ascii="Times New Roman" w:hAnsi="Times New Roman" w:cs="Times New Roman"/>
          <w:sz w:val="28"/>
          <w:szCs w:val="28"/>
        </w:rPr>
        <w:t xml:space="preserve"> </w:t>
      </w:r>
      <w:r w:rsidR="00FD7A35" w:rsidRPr="00A47200">
        <w:rPr>
          <w:rFonts w:ascii="Times New Roman" w:hAnsi="Times New Roman" w:cs="Times New Roman"/>
          <w:sz w:val="28"/>
          <w:szCs w:val="28"/>
        </w:rPr>
        <w:t>vietējā</w:t>
      </w:r>
      <w:r w:rsidR="00D44113" w:rsidRPr="00A47200">
        <w:rPr>
          <w:rFonts w:ascii="Times New Roman" w:hAnsi="Times New Roman" w:cs="Times New Roman"/>
          <w:sz w:val="28"/>
          <w:szCs w:val="28"/>
        </w:rPr>
        <w:t>s</w:t>
      </w:r>
      <w:r w:rsidR="00FD7A35" w:rsidRPr="00A47200">
        <w:rPr>
          <w:rFonts w:ascii="Times New Roman" w:hAnsi="Times New Roman" w:cs="Times New Roman"/>
          <w:sz w:val="28"/>
          <w:szCs w:val="28"/>
        </w:rPr>
        <w:t xml:space="preserve"> darbības veida vienības</w:t>
      </w:r>
      <w:r w:rsidR="00656AF1" w:rsidRPr="00A47200">
        <w:rPr>
          <w:rFonts w:ascii="Times New Roman" w:hAnsi="Times New Roman" w:cs="Times New Roman"/>
          <w:sz w:val="28"/>
          <w:szCs w:val="28"/>
        </w:rPr>
        <w:t xml:space="preserve"> tiek attiecinātas </w:t>
      </w:r>
      <w:r w:rsidR="00D94BEB" w:rsidRPr="00A47200">
        <w:rPr>
          <w:rFonts w:ascii="Times New Roman" w:hAnsi="Times New Roman" w:cs="Times New Roman"/>
          <w:sz w:val="28"/>
          <w:szCs w:val="28"/>
        </w:rPr>
        <w:t xml:space="preserve">tikai un vienīgi </w:t>
      </w:r>
      <w:r w:rsidR="0059155A" w:rsidRPr="00A47200">
        <w:rPr>
          <w:rFonts w:ascii="Times New Roman" w:hAnsi="Times New Roman" w:cs="Times New Roman"/>
          <w:sz w:val="28"/>
          <w:szCs w:val="28"/>
        </w:rPr>
        <w:t>uz Rīgu;</w:t>
      </w:r>
    </w:p>
    <w:p w:rsidR="00AF677E" w:rsidRPr="00A47200" w:rsidRDefault="00AF677E" w:rsidP="00A47200">
      <w:pPr>
        <w:pStyle w:val="Default"/>
        <w:numPr>
          <w:ilvl w:val="0"/>
          <w:numId w:val="4"/>
        </w:numPr>
        <w:spacing w:before="100" w:beforeAutospacing="1"/>
        <w:ind w:left="1418" w:hanging="284"/>
        <w:jc w:val="both"/>
        <w:rPr>
          <w:rFonts w:ascii="Times New Roman" w:eastAsia="Times New Roman" w:hAnsi="Times New Roman" w:cs="Times New Roman"/>
          <w:color w:val="auto"/>
          <w:sz w:val="28"/>
          <w:szCs w:val="28"/>
          <w:bdr w:val="none" w:sz="0" w:space="0" w:color="auto" w:frame="1"/>
          <w:shd w:val="clear" w:color="auto" w:fill="FFFFFF"/>
          <w:lang w:eastAsia="lv-LV"/>
        </w:rPr>
      </w:pPr>
      <w:r w:rsidRPr="00A47200">
        <w:rPr>
          <w:rFonts w:ascii="Times New Roman" w:hAnsi="Times New Roman" w:cs="Times New Roman"/>
          <w:color w:val="auto"/>
          <w:sz w:val="28"/>
          <w:szCs w:val="28"/>
        </w:rPr>
        <w:t>M</w:t>
      </w:r>
      <w:r w:rsidRPr="00A47200">
        <w:rPr>
          <w:rFonts w:ascii="Times New Roman" w:eastAsia="Times New Roman" w:hAnsi="Times New Roman" w:cs="Times New Roman"/>
          <w:color w:val="auto"/>
          <w:sz w:val="28"/>
          <w:szCs w:val="28"/>
          <w:bdr w:val="none" w:sz="0" w:space="0" w:color="auto" w:frame="1"/>
          <w:shd w:val="clear" w:color="auto" w:fill="FFFFFF"/>
          <w:lang w:eastAsia="lv-LV"/>
        </w:rPr>
        <w:t xml:space="preserve">ājsaimniecībās saražotās augkopības un lopkopības produkcijas PV lauksaimniecības nozarē tiek sadalīta pa </w:t>
      </w:r>
      <w:r w:rsidR="00C53A14" w:rsidRPr="00A47200">
        <w:rPr>
          <w:rFonts w:ascii="Times New Roman" w:eastAsia="Times New Roman" w:hAnsi="Times New Roman" w:cs="Times New Roman"/>
          <w:color w:val="auto"/>
          <w:sz w:val="28"/>
          <w:szCs w:val="28"/>
          <w:bdr w:val="none" w:sz="0" w:space="0" w:color="auto" w:frame="1"/>
          <w:shd w:val="clear" w:color="auto" w:fill="FFFFFF"/>
          <w:lang w:eastAsia="lv-LV"/>
        </w:rPr>
        <w:t>teritorijām</w:t>
      </w:r>
      <w:r w:rsidRPr="00A47200">
        <w:rPr>
          <w:rFonts w:ascii="Times New Roman" w:eastAsia="Times New Roman" w:hAnsi="Times New Roman" w:cs="Times New Roman"/>
          <w:color w:val="auto"/>
          <w:sz w:val="28"/>
          <w:szCs w:val="28"/>
          <w:bdr w:val="none" w:sz="0" w:space="0" w:color="auto" w:frame="1"/>
          <w:shd w:val="clear" w:color="auto" w:fill="FFFFFF"/>
          <w:lang w:eastAsia="lv-LV"/>
        </w:rPr>
        <w:t xml:space="preserve"> proporcionāli apgrozījuma novērtējumiem zemnieku saimniecībās šajā nozarē, par pamatu ņemot V</w:t>
      </w:r>
      <w:r w:rsidR="00CB77F4" w:rsidRPr="00A47200">
        <w:rPr>
          <w:rFonts w:ascii="Times New Roman" w:eastAsia="Times New Roman" w:hAnsi="Times New Roman" w:cs="Times New Roman"/>
          <w:color w:val="auto"/>
          <w:sz w:val="28"/>
          <w:szCs w:val="28"/>
          <w:bdr w:val="none" w:sz="0" w:space="0" w:color="auto" w:frame="1"/>
          <w:shd w:val="clear" w:color="auto" w:fill="FFFFFF"/>
          <w:lang w:eastAsia="lv-LV"/>
        </w:rPr>
        <w:t>alsts ieņēmumu dienesta</w:t>
      </w:r>
      <w:r w:rsidR="0059155A" w:rsidRPr="00A47200">
        <w:rPr>
          <w:rFonts w:ascii="Times New Roman" w:eastAsia="Times New Roman" w:hAnsi="Times New Roman" w:cs="Times New Roman"/>
          <w:color w:val="auto"/>
          <w:sz w:val="28"/>
          <w:szCs w:val="28"/>
          <w:bdr w:val="none" w:sz="0" w:space="0" w:color="auto" w:frame="1"/>
          <w:shd w:val="clear" w:color="auto" w:fill="FFFFFF"/>
          <w:lang w:eastAsia="lv-LV"/>
        </w:rPr>
        <w:t xml:space="preserve"> datus;</w:t>
      </w:r>
    </w:p>
    <w:p w:rsidR="00AF677E" w:rsidRPr="00A47200" w:rsidRDefault="00AF677E" w:rsidP="00A47200">
      <w:pPr>
        <w:pStyle w:val="ListParagraph"/>
        <w:numPr>
          <w:ilvl w:val="0"/>
          <w:numId w:val="3"/>
        </w:numPr>
        <w:shd w:val="clear" w:color="auto" w:fill="FFFFFF"/>
        <w:spacing w:after="100" w:afterAutospacing="1" w:line="240" w:lineRule="auto"/>
        <w:ind w:left="1418" w:hanging="284"/>
        <w:jc w:val="both"/>
        <w:rPr>
          <w:rFonts w:ascii="Times New Roman" w:eastAsia="Times New Roman" w:hAnsi="Times New Roman" w:cs="Times New Roman"/>
          <w:sz w:val="28"/>
          <w:szCs w:val="28"/>
          <w:bdr w:val="none" w:sz="0" w:space="0" w:color="auto" w:frame="1"/>
          <w:shd w:val="clear" w:color="auto" w:fill="FFFFFF"/>
          <w:lang w:eastAsia="lv-LV"/>
        </w:rPr>
      </w:pPr>
      <w:r w:rsidRPr="00A47200">
        <w:rPr>
          <w:rFonts w:ascii="Times New Roman" w:eastAsia="Times New Roman" w:hAnsi="Times New Roman" w:cs="Times New Roman"/>
          <w:sz w:val="28"/>
          <w:szCs w:val="28"/>
          <w:bdr w:val="none" w:sz="0" w:space="0" w:color="auto" w:frame="1"/>
          <w:shd w:val="clear" w:color="auto" w:fill="FFFFFF"/>
          <w:lang w:eastAsia="lv-LV"/>
        </w:rPr>
        <w:t xml:space="preserve">Apdrošināšanas un pārapdrošināšanas nozares uzņēmumu PV tiek sadalīta atbilstoši uzņēmuma VDVV nodarbināto skaitam attiecīgajā </w:t>
      </w:r>
      <w:r w:rsidR="00C53A14" w:rsidRPr="00A47200">
        <w:rPr>
          <w:rFonts w:ascii="Times New Roman" w:eastAsia="Times New Roman" w:hAnsi="Times New Roman" w:cs="Times New Roman"/>
          <w:sz w:val="28"/>
          <w:szCs w:val="28"/>
          <w:bdr w:val="none" w:sz="0" w:space="0" w:color="auto" w:frame="1"/>
          <w:shd w:val="clear" w:color="auto" w:fill="FFFFFF"/>
          <w:lang w:eastAsia="lv-LV"/>
        </w:rPr>
        <w:t>teritorijā</w:t>
      </w:r>
      <w:r w:rsidR="0059155A" w:rsidRPr="00A47200">
        <w:rPr>
          <w:rFonts w:ascii="Times New Roman" w:eastAsia="Times New Roman" w:hAnsi="Times New Roman" w:cs="Times New Roman"/>
          <w:sz w:val="28"/>
          <w:szCs w:val="28"/>
          <w:bdr w:val="none" w:sz="0" w:space="0" w:color="auto" w:frame="1"/>
          <w:shd w:val="clear" w:color="auto" w:fill="FFFFFF"/>
          <w:lang w:eastAsia="lv-LV"/>
        </w:rPr>
        <w:t>;</w:t>
      </w:r>
    </w:p>
    <w:p w:rsidR="00C86B6E" w:rsidRPr="00A47200" w:rsidRDefault="00AF677E" w:rsidP="00A47200">
      <w:pPr>
        <w:pStyle w:val="ListParagraph"/>
        <w:numPr>
          <w:ilvl w:val="0"/>
          <w:numId w:val="3"/>
        </w:numPr>
        <w:shd w:val="clear" w:color="auto" w:fill="FFFFFF"/>
        <w:spacing w:before="100" w:beforeAutospacing="1" w:after="100" w:afterAutospacing="1" w:line="240" w:lineRule="auto"/>
        <w:ind w:left="1418" w:hanging="284"/>
        <w:contextualSpacing w:val="0"/>
        <w:jc w:val="both"/>
        <w:rPr>
          <w:rFonts w:ascii="Times New Roman" w:eastAsia="Times New Roman" w:hAnsi="Times New Roman" w:cs="Times New Roman"/>
          <w:sz w:val="28"/>
          <w:szCs w:val="28"/>
          <w:bdr w:val="none" w:sz="0" w:space="0" w:color="auto" w:frame="1"/>
          <w:shd w:val="clear" w:color="auto" w:fill="FFFFFF"/>
          <w:lang w:eastAsia="lv-LV"/>
        </w:rPr>
      </w:pPr>
      <w:r w:rsidRPr="00A47200">
        <w:rPr>
          <w:rFonts w:ascii="Times New Roman" w:eastAsia="Times New Roman" w:hAnsi="Times New Roman" w:cs="Times New Roman"/>
          <w:sz w:val="28"/>
          <w:szCs w:val="28"/>
          <w:bdr w:val="none" w:sz="0" w:space="0" w:color="auto" w:frame="1"/>
          <w:shd w:val="clear" w:color="auto" w:fill="FFFFFF"/>
          <w:lang w:eastAsia="lv-LV"/>
        </w:rPr>
        <w:t>Nosacītās īres PV reģionalizācija</w:t>
      </w:r>
      <w:r w:rsidR="00C86B6E" w:rsidRPr="00A47200">
        <w:rPr>
          <w:rFonts w:ascii="Times New Roman" w:eastAsia="Times New Roman" w:hAnsi="Times New Roman" w:cs="Times New Roman"/>
          <w:sz w:val="28"/>
          <w:szCs w:val="28"/>
          <w:bdr w:val="none" w:sz="0" w:space="0" w:color="auto" w:frame="1"/>
          <w:shd w:val="clear" w:color="auto" w:fill="FFFFFF"/>
          <w:lang w:eastAsia="lv-LV"/>
        </w:rPr>
        <w:t xml:space="preserve"> </w:t>
      </w:r>
      <w:r w:rsidRPr="00A47200">
        <w:rPr>
          <w:rFonts w:ascii="Times New Roman" w:eastAsia="Times New Roman" w:hAnsi="Times New Roman" w:cs="Times New Roman"/>
          <w:sz w:val="28"/>
          <w:szCs w:val="28"/>
          <w:bdr w:val="none" w:sz="0" w:space="0" w:color="auto" w:frame="1"/>
          <w:shd w:val="clear" w:color="auto" w:fill="FFFFFF"/>
          <w:lang w:eastAsia="lv-LV"/>
        </w:rPr>
        <w:t>tiek veikta</w:t>
      </w:r>
      <w:r w:rsidR="00C86B6E" w:rsidRPr="00A47200">
        <w:rPr>
          <w:rFonts w:ascii="Times New Roman" w:eastAsia="Times New Roman" w:hAnsi="Times New Roman" w:cs="Times New Roman"/>
          <w:sz w:val="28"/>
          <w:szCs w:val="28"/>
          <w:bdr w:val="none" w:sz="0" w:space="0" w:color="auto" w:frame="1"/>
          <w:shd w:val="clear" w:color="auto" w:fill="FFFFFF"/>
          <w:lang w:eastAsia="lv-LV"/>
        </w:rPr>
        <w:t xml:space="preserve">, proporcionāli sadalot nacionālā līmeņa </w:t>
      </w:r>
      <w:r w:rsidR="00931CDB" w:rsidRPr="00A47200">
        <w:rPr>
          <w:rFonts w:ascii="Times New Roman" w:eastAsia="Times New Roman" w:hAnsi="Times New Roman" w:cs="Times New Roman"/>
          <w:sz w:val="28"/>
          <w:szCs w:val="28"/>
          <w:bdr w:val="none" w:sz="0" w:space="0" w:color="auto" w:frame="1"/>
          <w:shd w:val="clear" w:color="auto" w:fill="FFFFFF"/>
          <w:lang w:eastAsia="lv-LV"/>
        </w:rPr>
        <w:t xml:space="preserve">nosacītās īres PV </w:t>
      </w:r>
      <w:r w:rsidR="00C86B6E" w:rsidRPr="00A47200">
        <w:rPr>
          <w:rFonts w:ascii="Times New Roman" w:eastAsia="Times New Roman" w:hAnsi="Times New Roman" w:cs="Times New Roman"/>
          <w:sz w:val="28"/>
          <w:szCs w:val="28"/>
          <w:bdr w:val="none" w:sz="0" w:space="0" w:color="auto" w:frame="1"/>
          <w:shd w:val="clear" w:color="auto" w:fill="FFFFFF"/>
          <w:lang w:eastAsia="lv-LV"/>
        </w:rPr>
        <w:t xml:space="preserve">novērtējumu. </w:t>
      </w:r>
    </w:p>
    <w:p w:rsidR="00AF677E" w:rsidRPr="00A47200" w:rsidRDefault="00AF677E" w:rsidP="00A47200">
      <w:pPr>
        <w:pStyle w:val="ListParagraph"/>
        <w:shd w:val="clear" w:color="auto" w:fill="FFFFFF"/>
        <w:spacing w:before="100" w:beforeAutospacing="1" w:after="100" w:afterAutospacing="1" w:line="240" w:lineRule="auto"/>
        <w:ind w:left="0" w:firstLine="720"/>
        <w:jc w:val="both"/>
        <w:rPr>
          <w:rFonts w:ascii="Times New Roman" w:eastAsia="Times New Roman" w:hAnsi="Times New Roman" w:cs="Times New Roman"/>
          <w:sz w:val="28"/>
          <w:szCs w:val="28"/>
          <w:bdr w:val="none" w:sz="0" w:space="0" w:color="auto" w:frame="1"/>
          <w:shd w:val="clear" w:color="auto" w:fill="FFFFFF"/>
          <w:lang w:eastAsia="lv-LV"/>
        </w:rPr>
      </w:pPr>
      <w:r w:rsidRPr="00A47200">
        <w:rPr>
          <w:rFonts w:ascii="Times New Roman" w:eastAsia="Times New Roman" w:hAnsi="Times New Roman" w:cs="Times New Roman"/>
          <w:sz w:val="28"/>
          <w:szCs w:val="28"/>
          <w:bdr w:val="none" w:sz="0" w:space="0" w:color="auto" w:frame="1"/>
          <w:shd w:val="clear" w:color="auto" w:fill="FFFFFF"/>
          <w:lang w:eastAsia="lv-LV"/>
        </w:rPr>
        <w:t>Pārskatos neuztvertās ekonomikas („ēnu” ekonomika) un nelegālo darbību (prostitūcija, narkotikas, cigarešu, alkohola un degvielas kontrabanda) un citu nacionālajiem kontiem specifisku rādītāju radītā PV tiek aprēķināta tikai valsts līmenī. Ņemot vērā, ka nav pieejama informācija, kas ļautu šos rādītājus sadalīt pa teritorijām, tad šī ekonomikas daļa tiek dalīta proporcionāli pārējai ekonomikas daļai, ko ir iespējam</w:t>
      </w:r>
      <w:r w:rsidR="00BF463E" w:rsidRPr="00A47200">
        <w:rPr>
          <w:rFonts w:ascii="Times New Roman" w:eastAsia="Times New Roman" w:hAnsi="Times New Roman" w:cs="Times New Roman"/>
          <w:sz w:val="28"/>
          <w:szCs w:val="28"/>
          <w:bdr w:val="none" w:sz="0" w:space="0" w:color="auto" w:frame="1"/>
          <w:shd w:val="clear" w:color="auto" w:fill="FFFFFF"/>
          <w:lang w:eastAsia="lv-LV"/>
        </w:rPr>
        <w:t>s sadalīt.</w:t>
      </w:r>
    </w:p>
    <w:p w:rsidR="004F1F77" w:rsidRPr="00A47200" w:rsidRDefault="00AF677E" w:rsidP="00A47200">
      <w:pPr>
        <w:shd w:val="clear" w:color="auto" w:fill="FFFFFF"/>
        <w:spacing w:before="100" w:beforeAutospacing="1" w:after="100" w:afterAutospacing="1" w:line="240" w:lineRule="auto"/>
        <w:ind w:firstLine="720"/>
        <w:jc w:val="both"/>
        <w:rPr>
          <w:rFonts w:ascii="Times New Roman" w:eastAsia="Times New Roman" w:hAnsi="Times New Roman" w:cs="Times New Roman"/>
          <w:sz w:val="28"/>
          <w:szCs w:val="28"/>
          <w:bdr w:val="none" w:sz="0" w:space="0" w:color="auto" w:frame="1"/>
          <w:shd w:val="clear" w:color="auto" w:fill="FFFFFF"/>
          <w:lang w:eastAsia="lv-LV"/>
        </w:rPr>
      </w:pPr>
      <w:r w:rsidRPr="00A47200">
        <w:rPr>
          <w:rFonts w:ascii="Times New Roman" w:eastAsia="Times New Roman" w:hAnsi="Times New Roman" w:cs="Times New Roman"/>
          <w:sz w:val="28"/>
          <w:szCs w:val="28"/>
          <w:bdr w:val="none" w:sz="0" w:space="0" w:color="auto" w:frame="1"/>
          <w:shd w:val="clear" w:color="auto" w:fill="FFFFFF"/>
          <w:lang w:eastAsia="lv-LV"/>
        </w:rPr>
        <w:t xml:space="preserve">Lai novērstu </w:t>
      </w:r>
      <w:r w:rsidR="006B05EC" w:rsidRPr="00A47200">
        <w:rPr>
          <w:rFonts w:ascii="Times New Roman" w:eastAsia="Times New Roman" w:hAnsi="Times New Roman" w:cs="Times New Roman"/>
          <w:sz w:val="28"/>
          <w:szCs w:val="28"/>
          <w:bdr w:val="none" w:sz="0" w:space="0" w:color="auto" w:frame="1"/>
          <w:shd w:val="clear" w:color="auto" w:fill="FFFFFF"/>
          <w:lang w:eastAsia="lv-LV"/>
        </w:rPr>
        <w:t xml:space="preserve">iespējamās aprēķinos </w:t>
      </w:r>
      <w:r w:rsidRPr="00A47200">
        <w:rPr>
          <w:rFonts w:ascii="Times New Roman" w:eastAsia="Times New Roman" w:hAnsi="Times New Roman" w:cs="Times New Roman"/>
          <w:sz w:val="28"/>
          <w:szCs w:val="28"/>
          <w:bdr w:val="none" w:sz="0" w:space="0" w:color="auto" w:frame="1"/>
          <w:shd w:val="clear" w:color="auto" w:fill="FFFFFF"/>
          <w:lang w:eastAsia="lv-LV"/>
        </w:rPr>
        <w:t xml:space="preserve">radušās atšķirības, PV rādītāji </w:t>
      </w:r>
      <w:r w:rsidR="00656AF1" w:rsidRPr="00A47200">
        <w:rPr>
          <w:rFonts w:ascii="Times New Roman" w:eastAsia="Times New Roman" w:hAnsi="Times New Roman" w:cs="Times New Roman"/>
          <w:sz w:val="28"/>
          <w:szCs w:val="28"/>
          <w:bdr w:val="none" w:sz="0" w:space="0" w:color="auto" w:frame="1"/>
          <w:shd w:val="clear" w:color="auto" w:fill="FFFFFF"/>
          <w:lang w:eastAsia="lv-LV"/>
        </w:rPr>
        <w:t>atsevišķās teritorijās jāsaskaņo</w:t>
      </w:r>
      <w:r w:rsidRPr="00A47200">
        <w:rPr>
          <w:rFonts w:ascii="Times New Roman" w:eastAsia="Times New Roman" w:hAnsi="Times New Roman" w:cs="Times New Roman"/>
          <w:sz w:val="28"/>
          <w:szCs w:val="28"/>
          <w:bdr w:val="none" w:sz="0" w:space="0" w:color="auto" w:frame="1"/>
          <w:shd w:val="clear" w:color="auto" w:fill="FFFFFF"/>
          <w:lang w:eastAsia="lv-LV"/>
        </w:rPr>
        <w:t xml:space="preserve"> ar nacionālo kontu rādītājiem pa darbības veidiem valsts līmenī</w:t>
      </w:r>
      <w:r w:rsidR="00786287" w:rsidRPr="00A47200">
        <w:rPr>
          <w:rFonts w:ascii="Times New Roman" w:eastAsia="Times New Roman" w:hAnsi="Times New Roman" w:cs="Times New Roman"/>
          <w:sz w:val="28"/>
          <w:szCs w:val="28"/>
          <w:bdr w:val="none" w:sz="0" w:space="0" w:color="auto" w:frame="1"/>
          <w:shd w:val="clear" w:color="auto" w:fill="FFFFFF"/>
          <w:lang w:eastAsia="lv-LV"/>
        </w:rPr>
        <w:t>.</w:t>
      </w:r>
    </w:p>
    <w:p w:rsidR="00CC60CC" w:rsidRPr="00A47200" w:rsidRDefault="00AF677E" w:rsidP="00A47200">
      <w:pPr>
        <w:shd w:val="clear" w:color="auto" w:fill="FFFFFF"/>
        <w:spacing w:before="100" w:beforeAutospacing="1" w:after="100" w:afterAutospacing="1" w:line="240" w:lineRule="auto"/>
        <w:ind w:firstLine="720"/>
        <w:jc w:val="both"/>
        <w:rPr>
          <w:rFonts w:ascii="Times New Roman" w:eastAsia="Times New Roman" w:hAnsi="Times New Roman" w:cs="Times New Roman"/>
          <w:sz w:val="28"/>
          <w:szCs w:val="28"/>
          <w:bdr w:val="none" w:sz="0" w:space="0" w:color="auto" w:frame="1"/>
          <w:shd w:val="clear" w:color="auto" w:fill="FFFFFF"/>
          <w:lang w:eastAsia="lv-LV"/>
        </w:rPr>
      </w:pPr>
      <w:r w:rsidRPr="00A47200">
        <w:rPr>
          <w:rFonts w:ascii="Times New Roman" w:eastAsia="Times New Roman" w:hAnsi="Times New Roman" w:cs="Times New Roman"/>
          <w:sz w:val="28"/>
          <w:szCs w:val="28"/>
          <w:bdr w:val="none" w:sz="0" w:space="0" w:color="auto" w:frame="1"/>
          <w:shd w:val="clear" w:color="auto" w:fill="FFFFFF"/>
          <w:lang w:eastAsia="lv-LV"/>
        </w:rPr>
        <w:t>Aprēķinot IKP, produktu nodokļi (mīnus subsīdijas) pa teritorijām tiek sadalīti proporcionāli attiecīgajā teritorijā radīta</w:t>
      </w:r>
      <w:r w:rsidR="000F3316" w:rsidRPr="00A47200">
        <w:rPr>
          <w:rFonts w:ascii="Times New Roman" w:eastAsia="Times New Roman" w:hAnsi="Times New Roman" w:cs="Times New Roman"/>
          <w:sz w:val="28"/>
          <w:szCs w:val="28"/>
          <w:bdr w:val="none" w:sz="0" w:space="0" w:color="auto" w:frame="1"/>
          <w:shd w:val="clear" w:color="auto" w:fill="FFFFFF"/>
          <w:lang w:eastAsia="lv-LV"/>
        </w:rPr>
        <w:t>ja</w:t>
      </w:r>
      <w:r w:rsidRPr="00A47200">
        <w:rPr>
          <w:rFonts w:ascii="Times New Roman" w:eastAsia="Times New Roman" w:hAnsi="Times New Roman" w:cs="Times New Roman"/>
          <w:sz w:val="28"/>
          <w:szCs w:val="28"/>
          <w:bdr w:val="none" w:sz="0" w:space="0" w:color="auto" w:frame="1"/>
          <w:shd w:val="clear" w:color="auto" w:fill="FFFFFF"/>
          <w:lang w:eastAsia="lv-LV"/>
        </w:rPr>
        <w:t>i PV.</w:t>
      </w:r>
    </w:p>
    <w:p w:rsidR="00FE76D8" w:rsidRPr="00A47200" w:rsidRDefault="00D94BEB" w:rsidP="00A47200">
      <w:pPr>
        <w:spacing w:line="240" w:lineRule="auto"/>
        <w:jc w:val="center"/>
        <w:rPr>
          <w:rFonts w:ascii="Times New Roman" w:hAnsi="Times New Roman" w:cs="Times New Roman"/>
          <w:b/>
          <w:sz w:val="28"/>
          <w:szCs w:val="28"/>
        </w:rPr>
      </w:pPr>
      <w:r w:rsidRPr="00A47200">
        <w:rPr>
          <w:rFonts w:ascii="Times New Roman" w:hAnsi="Times New Roman" w:cs="Times New Roman"/>
          <w:b/>
          <w:sz w:val="28"/>
          <w:szCs w:val="28"/>
        </w:rPr>
        <w:lastRenderedPageBreak/>
        <w:t>3</w:t>
      </w:r>
      <w:r w:rsidR="00FE76D8" w:rsidRPr="00A47200">
        <w:rPr>
          <w:rFonts w:ascii="Times New Roman" w:hAnsi="Times New Roman" w:cs="Times New Roman"/>
          <w:b/>
          <w:sz w:val="28"/>
          <w:szCs w:val="28"/>
        </w:rPr>
        <w:t>.</w:t>
      </w:r>
      <w:r w:rsidR="002F6406" w:rsidRPr="00A47200">
        <w:rPr>
          <w:rFonts w:ascii="Times New Roman" w:hAnsi="Times New Roman" w:cs="Times New Roman"/>
          <w:b/>
          <w:sz w:val="28"/>
          <w:szCs w:val="28"/>
        </w:rPr>
        <w:t>2</w:t>
      </w:r>
      <w:r w:rsidR="00FE76D8" w:rsidRPr="00A47200">
        <w:rPr>
          <w:rFonts w:ascii="Times New Roman" w:hAnsi="Times New Roman" w:cs="Times New Roman"/>
          <w:b/>
          <w:sz w:val="28"/>
          <w:szCs w:val="28"/>
        </w:rPr>
        <w:t xml:space="preserve">. Republikas pilsētu </w:t>
      </w:r>
      <w:r w:rsidR="00BB449E" w:rsidRPr="00A47200">
        <w:rPr>
          <w:rFonts w:ascii="Times New Roman" w:hAnsi="Times New Roman" w:cs="Times New Roman"/>
          <w:b/>
          <w:sz w:val="28"/>
          <w:szCs w:val="28"/>
        </w:rPr>
        <w:t>IKP</w:t>
      </w:r>
      <w:r w:rsidR="00FE76D8" w:rsidRPr="00A47200">
        <w:rPr>
          <w:rFonts w:ascii="Times New Roman" w:hAnsi="Times New Roman" w:cs="Times New Roman"/>
          <w:b/>
          <w:sz w:val="28"/>
          <w:szCs w:val="28"/>
        </w:rPr>
        <w:t xml:space="preserve"> un </w:t>
      </w:r>
      <w:r w:rsidR="00BB449E" w:rsidRPr="00A47200">
        <w:rPr>
          <w:rFonts w:ascii="Times New Roman" w:hAnsi="Times New Roman" w:cs="Times New Roman"/>
          <w:b/>
          <w:sz w:val="28"/>
          <w:szCs w:val="28"/>
        </w:rPr>
        <w:t>PV</w:t>
      </w:r>
      <w:r w:rsidR="00300381" w:rsidRPr="00A47200">
        <w:rPr>
          <w:rFonts w:ascii="Times New Roman" w:hAnsi="Times New Roman" w:cs="Times New Roman"/>
          <w:b/>
          <w:sz w:val="28"/>
          <w:szCs w:val="28"/>
        </w:rPr>
        <w:t xml:space="preserve"> eksperimentālā</w:t>
      </w:r>
      <w:r w:rsidR="00FE76D8" w:rsidRPr="00A47200">
        <w:rPr>
          <w:rFonts w:ascii="Times New Roman" w:hAnsi="Times New Roman" w:cs="Times New Roman"/>
          <w:b/>
          <w:sz w:val="28"/>
          <w:szCs w:val="28"/>
        </w:rPr>
        <w:t xml:space="preserve"> aprēķina kvalitātes novērt</w:t>
      </w:r>
      <w:r w:rsidR="00626585" w:rsidRPr="00A47200">
        <w:rPr>
          <w:rFonts w:ascii="Times New Roman" w:hAnsi="Times New Roman" w:cs="Times New Roman"/>
          <w:b/>
          <w:sz w:val="28"/>
          <w:szCs w:val="28"/>
        </w:rPr>
        <w:t>ējums</w:t>
      </w:r>
    </w:p>
    <w:p w:rsidR="00C410F4" w:rsidRPr="00A47200" w:rsidRDefault="00C410F4" w:rsidP="00A47200">
      <w:pPr>
        <w:spacing w:before="100" w:beforeAutospacing="1" w:after="0" w:line="240" w:lineRule="auto"/>
        <w:ind w:firstLine="720"/>
        <w:jc w:val="both"/>
        <w:rPr>
          <w:rFonts w:ascii="Times New Roman" w:hAnsi="Times New Roman" w:cs="Times New Roman"/>
          <w:sz w:val="28"/>
          <w:szCs w:val="28"/>
        </w:rPr>
      </w:pPr>
      <w:r w:rsidRPr="00A47200">
        <w:rPr>
          <w:rFonts w:ascii="Times New Roman" w:hAnsi="Times New Roman" w:cs="Times New Roman"/>
          <w:sz w:val="28"/>
          <w:szCs w:val="28"/>
        </w:rPr>
        <w:t>Republikas pilsētu IKP un PV eksperimentālā aprēķina kvalitāte ir novērtēta:</w:t>
      </w:r>
    </w:p>
    <w:p w:rsidR="00C410F4" w:rsidRPr="00A47200" w:rsidRDefault="00212400" w:rsidP="00A47200">
      <w:pPr>
        <w:pStyle w:val="ListParagraph"/>
        <w:numPr>
          <w:ilvl w:val="0"/>
          <w:numId w:val="5"/>
        </w:numPr>
        <w:spacing w:after="100" w:afterAutospacing="1" w:line="240" w:lineRule="auto"/>
        <w:ind w:left="1417" w:hanging="283"/>
        <w:jc w:val="both"/>
        <w:rPr>
          <w:rFonts w:ascii="Times New Roman" w:hAnsi="Times New Roman" w:cs="Times New Roman"/>
          <w:sz w:val="28"/>
          <w:szCs w:val="28"/>
        </w:rPr>
      </w:pPr>
      <w:r w:rsidRPr="00A47200">
        <w:rPr>
          <w:rFonts w:ascii="Times New Roman" w:hAnsi="Times New Roman" w:cs="Times New Roman"/>
          <w:sz w:val="28"/>
          <w:szCs w:val="28"/>
        </w:rPr>
        <w:t>T</w:t>
      </w:r>
      <w:r w:rsidR="00C410F4" w:rsidRPr="00A47200">
        <w:rPr>
          <w:rFonts w:ascii="Times New Roman" w:hAnsi="Times New Roman" w:cs="Times New Roman"/>
          <w:sz w:val="28"/>
          <w:szCs w:val="28"/>
        </w:rPr>
        <w:t>ieši, izmantojot kvalitātes rādītāju – uztvertās daļas PV eksper</w:t>
      </w:r>
      <w:r w:rsidR="002F1690" w:rsidRPr="00A47200">
        <w:rPr>
          <w:rFonts w:ascii="Times New Roman" w:hAnsi="Times New Roman" w:cs="Times New Roman"/>
          <w:sz w:val="28"/>
          <w:szCs w:val="28"/>
        </w:rPr>
        <w:t>imentālā aprēķina izlases kļūdu</w:t>
      </w:r>
      <w:r w:rsidR="00DF51EB" w:rsidRPr="00A47200">
        <w:rPr>
          <w:rFonts w:ascii="Times New Roman" w:hAnsi="Times New Roman" w:cs="Times New Roman"/>
          <w:sz w:val="28"/>
          <w:szCs w:val="28"/>
        </w:rPr>
        <w:t>;</w:t>
      </w:r>
    </w:p>
    <w:p w:rsidR="00C410F4" w:rsidRPr="00A47200" w:rsidRDefault="00212400" w:rsidP="00A47200">
      <w:pPr>
        <w:pStyle w:val="ListParagraph"/>
        <w:numPr>
          <w:ilvl w:val="0"/>
          <w:numId w:val="5"/>
        </w:numPr>
        <w:spacing w:before="100" w:beforeAutospacing="1" w:after="100" w:afterAutospacing="1" w:line="240" w:lineRule="auto"/>
        <w:ind w:left="1418" w:hanging="283"/>
        <w:jc w:val="both"/>
        <w:rPr>
          <w:rFonts w:ascii="Times New Roman" w:hAnsi="Times New Roman" w:cs="Times New Roman"/>
          <w:sz w:val="28"/>
          <w:szCs w:val="28"/>
        </w:rPr>
      </w:pPr>
      <w:r w:rsidRPr="00A47200">
        <w:rPr>
          <w:rFonts w:ascii="Times New Roman" w:hAnsi="Times New Roman" w:cs="Times New Roman"/>
          <w:sz w:val="28"/>
          <w:szCs w:val="28"/>
        </w:rPr>
        <w:t>U</w:t>
      </w:r>
      <w:r w:rsidR="002F1690" w:rsidRPr="00A47200">
        <w:rPr>
          <w:rFonts w:ascii="Times New Roman" w:hAnsi="Times New Roman" w:cs="Times New Roman"/>
          <w:sz w:val="28"/>
          <w:szCs w:val="28"/>
        </w:rPr>
        <w:t xml:space="preserve">n </w:t>
      </w:r>
      <w:r w:rsidR="00145A41" w:rsidRPr="00A47200">
        <w:rPr>
          <w:rFonts w:ascii="Times New Roman" w:hAnsi="Times New Roman" w:cs="Times New Roman"/>
          <w:sz w:val="28"/>
          <w:szCs w:val="28"/>
        </w:rPr>
        <w:t>ņemot vērā pārējos novirzes rašanās cēloņus</w:t>
      </w:r>
      <w:r w:rsidR="00C410F4" w:rsidRPr="00A47200">
        <w:rPr>
          <w:rFonts w:ascii="Times New Roman" w:hAnsi="Times New Roman" w:cs="Times New Roman"/>
          <w:sz w:val="28"/>
          <w:szCs w:val="28"/>
        </w:rPr>
        <w:t>.</w:t>
      </w:r>
    </w:p>
    <w:p w:rsidR="009244A4" w:rsidRPr="00A47200" w:rsidRDefault="00D94BEB" w:rsidP="00A47200">
      <w:pPr>
        <w:spacing w:before="100" w:beforeAutospacing="1" w:after="100" w:afterAutospacing="1" w:line="240" w:lineRule="auto"/>
        <w:jc w:val="center"/>
        <w:rPr>
          <w:rFonts w:ascii="Times New Roman" w:hAnsi="Times New Roman" w:cs="Times New Roman"/>
          <w:sz w:val="28"/>
          <w:szCs w:val="28"/>
          <w:u w:val="single"/>
        </w:rPr>
      </w:pPr>
      <w:r w:rsidRPr="00A47200">
        <w:rPr>
          <w:rFonts w:ascii="Times New Roman" w:hAnsi="Times New Roman" w:cs="Times New Roman"/>
          <w:sz w:val="28"/>
          <w:szCs w:val="28"/>
          <w:u w:val="single"/>
        </w:rPr>
        <w:t>3</w:t>
      </w:r>
      <w:r w:rsidR="00420A76" w:rsidRPr="00A47200">
        <w:rPr>
          <w:rFonts w:ascii="Times New Roman" w:hAnsi="Times New Roman" w:cs="Times New Roman"/>
          <w:sz w:val="28"/>
          <w:szCs w:val="28"/>
          <w:u w:val="single"/>
        </w:rPr>
        <w:t>.2</w:t>
      </w:r>
      <w:r w:rsidR="009244A4" w:rsidRPr="00A47200">
        <w:rPr>
          <w:rFonts w:ascii="Times New Roman" w:hAnsi="Times New Roman" w:cs="Times New Roman"/>
          <w:sz w:val="28"/>
          <w:szCs w:val="28"/>
          <w:u w:val="single"/>
        </w:rPr>
        <w:t>.1.</w:t>
      </w:r>
      <w:r w:rsidR="004201D2" w:rsidRPr="00A47200">
        <w:rPr>
          <w:rFonts w:ascii="Times New Roman" w:hAnsi="Times New Roman" w:cs="Times New Roman"/>
          <w:sz w:val="28"/>
          <w:szCs w:val="28"/>
          <w:u w:val="single"/>
        </w:rPr>
        <w:t xml:space="preserve"> </w:t>
      </w:r>
      <w:r w:rsidR="002F1690" w:rsidRPr="00A47200">
        <w:rPr>
          <w:rFonts w:ascii="Times New Roman" w:hAnsi="Times New Roman" w:cs="Times New Roman"/>
          <w:sz w:val="28"/>
          <w:szCs w:val="28"/>
          <w:u w:val="single"/>
        </w:rPr>
        <w:t>I</w:t>
      </w:r>
      <w:r w:rsidR="00527542" w:rsidRPr="00A47200">
        <w:rPr>
          <w:rFonts w:ascii="Times New Roman" w:hAnsi="Times New Roman" w:cs="Times New Roman"/>
          <w:sz w:val="28"/>
          <w:szCs w:val="28"/>
          <w:u w:val="single"/>
        </w:rPr>
        <w:t>zlases kļūda</w:t>
      </w:r>
    </w:p>
    <w:p w:rsidR="003A539B" w:rsidRPr="00A47200" w:rsidRDefault="003A539B" w:rsidP="00A47200">
      <w:pPr>
        <w:pStyle w:val="Normallv"/>
        <w:spacing w:before="100" w:beforeAutospacing="1" w:after="100" w:afterAutospacing="1"/>
        <w:rPr>
          <w:sz w:val="28"/>
          <w:szCs w:val="28"/>
        </w:rPr>
      </w:pPr>
      <w:r w:rsidRPr="00A47200">
        <w:rPr>
          <w:sz w:val="28"/>
          <w:szCs w:val="28"/>
        </w:rPr>
        <w:t>Uztvertās daļas PV eksperimentāl</w:t>
      </w:r>
      <w:r w:rsidR="00D37CD6" w:rsidRPr="00A47200">
        <w:rPr>
          <w:sz w:val="28"/>
          <w:szCs w:val="28"/>
        </w:rPr>
        <w:t>aj</w:t>
      </w:r>
      <w:r w:rsidRPr="00A47200">
        <w:rPr>
          <w:sz w:val="28"/>
          <w:szCs w:val="28"/>
        </w:rPr>
        <w:t xml:space="preserve">ā aprēķinā tiek izmantoti dati, kas ir iegūti </w:t>
      </w:r>
      <w:r w:rsidR="009E10E6" w:rsidRPr="00A47200">
        <w:rPr>
          <w:sz w:val="28"/>
          <w:szCs w:val="28"/>
        </w:rPr>
        <w:t xml:space="preserve">no </w:t>
      </w:r>
      <w:r w:rsidRPr="00A47200">
        <w:rPr>
          <w:sz w:val="28"/>
          <w:szCs w:val="28"/>
        </w:rPr>
        <w:t>1-gada un 2-gada pārskatiem. Šiem aprēķiniem piemīt izlases kļūda – kļūda, kas rodas, jo dati nav iegūti par visiem uzņēmumiem, bet gan tikai par daļu no tiem. Izlases kļūdas lielums ir novērtēts, izmantojot kļūdas robežu un ticamības intervālu (ar ticamības līmeni 95%).</w:t>
      </w:r>
    </w:p>
    <w:p w:rsidR="00EE6564" w:rsidRPr="00A47200" w:rsidRDefault="003A539B" w:rsidP="00A47200">
      <w:pPr>
        <w:pStyle w:val="Normallv"/>
        <w:spacing w:before="100" w:beforeAutospacing="1" w:after="100" w:afterAutospacing="1"/>
        <w:rPr>
          <w:sz w:val="28"/>
          <w:szCs w:val="28"/>
        </w:rPr>
      </w:pPr>
      <w:r w:rsidRPr="00A47200">
        <w:rPr>
          <w:sz w:val="28"/>
          <w:szCs w:val="28"/>
          <w:u w:val="single"/>
        </w:rPr>
        <w:t>Kļūdas robežas</w:t>
      </w:r>
      <w:r w:rsidRPr="00A47200">
        <w:rPr>
          <w:sz w:val="28"/>
          <w:szCs w:val="28"/>
        </w:rPr>
        <w:t xml:space="preserve"> interpretācija – izlases kļūda ar 95% ticamību nav lielāka par norādīto kļūdas robežu. Kļūdas robeža izteikta procentos no novērtējuma, iegūstot relatīvo kļūdas robežu (turpmāk – RKR). Uztvertās daļas PV eksperimentālo aprēķinu novērtējumi kopā ar RKR ir apskatāmi 2.tabulā. </w:t>
      </w:r>
      <w:r w:rsidR="00AB6981" w:rsidRPr="00A47200">
        <w:rPr>
          <w:sz w:val="28"/>
          <w:szCs w:val="28"/>
        </w:rPr>
        <w:t>Uztvertās daļas PV iegūtās RKR ļauj secināt</w:t>
      </w:r>
      <w:r w:rsidR="00447266" w:rsidRPr="00A47200">
        <w:rPr>
          <w:sz w:val="28"/>
          <w:szCs w:val="28"/>
        </w:rPr>
        <w:t>, ka</w:t>
      </w:r>
      <w:r w:rsidR="00AB6981" w:rsidRPr="00A47200">
        <w:rPr>
          <w:sz w:val="28"/>
          <w:szCs w:val="28"/>
        </w:rPr>
        <w:t xml:space="preserve"> PV novērtējumam Rīgā ir vismazākā RKR, un PV novērtējumam Jēkabpilī ir vislielākā RKR.</w:t>
      </w:r>
    </w:p>
    <w:p w:rsidR="00FC5F02" w:rsidRPr="00A47200" w:rsidRDefault="00FC5F02" w:rsidP="00A47200">
      <w:pPr>
        <w:pStyle w:val="Titleimageandtable"/>
        <w:spacing w:before="100" w:beforeAutospacing="1" w:after="0" w:line="288" w:lineRule="auto"/>
        <w:rPr>
          <w:b w:val="0"/>
          <w:sz w:val="28"/>
          <w:szCs w:val="28"/>
        </w:rPr>
      </w:pPr>
      <w:r w:rsidRPr="00A47200">
        <w:rPr>
          <w:b w:val="0"/>
          <w:sz w:val="28"/>
          <w:szCs w:val="28"/>
        </w:rPr>
        <w:t>2.tabula. Uztvertās daļas PV un tās RKR (%) republikas pilsētās 2011.–2012.gadā</w:t>
      </w:r>
    </w:p>
    <w:tbl>
      <w:tblPr>
        <w:tblStyle w:val="TableGrid"/>
        <w:tblW w:w="0" w:type="auto"/>
        <w:tblInd w:w="108" w:type="dxa"/>
        <w:tblLook w:val="04A0" w:firstRow="1" w:lastRow="0" w:firstColumn="1" w:lastColumn="0" w:noHBand="0" w:noVBand="1"/>
      </w:tblPr>
      <w:tblGrid>
        <w:gridCol w:w="1492"/>
        <w:gridCol w:w="1677"/>
        <w:gridCol w:w="1416"/>
        <w:gridCol w:w="1677"/>
        <w:gridCol w:w="1416"/>
      </w:tblGrid>
      <w:tr w:rsidR="00FC5F02" w:rsidRPr="003B34B8" w:rsidTr="0065308E">
        <w:tc>
          <w:tcPr>
            <w:tcW w:w="1364" w:type="dxa"/>
          </w:tcPr>
          <w:p w:rsidR="00FC5F02" w:rsidRPr="00A47200" w:rsidRDefault="00FC5F02" w:rsidP="00A43034">
            <w:pPr>
              <w:spacing w:before="100" w:beforeAutospacing="1" w:after="100" w:afterAutospacing="1" w:line="288" w:lineRule="auto"/>
              <w:jc w:val="both"/>
              <w:rPr>
                <w:rFonts w:ascii="Times New Roman" w:hAnsi="Times New Roman" w:cs="Times New Roman"/>
                <w:b/>
                <w:sz w:val="28"/>
                <w:szCs w:val="28"/>
              </w:rPr>
            </w:pPr>
          </w:p>
        </w:tc>
        <w:tc>
          <w:tcPr>
            <w:tcW w:w="3093" w:type="dxa"/>
            <w:gridSpan w:val="2"/>
          </w:tcPr>
          <w:p w:rsidR="00FC5F02" w:rsidRPr="00A47200" w:rsidRDefault="00FC5F02" w:rsidP="00A43034">
            <w:pPr>
              <w:spacing w:before="100" w:beforeAutospacing="1" w:after="100" w:afterAutospacing="1" w:line="288" w:lineRule="auto"/>
              <w:jc w:val="center"/>
              <w:rPr>
                <w:rFonts w:ascii="Times New Roman" w:hAnsi="Times New Roman" w:cs="Times New Roman"/>
                <w:b/>
                <w:sz w:val="28"/>
                <w:szCs w:val="28"/>
              </w:rPr>
            </w:pPr>
            <w:r w:rsidRPr="00A47200">
              <w:rPr>
                <w:rFonts w:ascii="Times New Roman" w:hAnsi="Times New Roman" w:cs="Times New Roman"/>
                <w:sz w:val="28"/>
                <w:szCs w:val="28"/>
              </w:rPr>
              <w:t>2011</w:t>
            </w:r>
          </w:p>
        </w:tc>
        <w:tc>
          <w:tcPr>
            <w:tcW w:w="3093" w:type="dxa"/>
            <w:gridSpan w:val="2"/>
          </w:tcPr>
          <w:p w:rsidR="00FC5F02" w:rsidRPr="00A47200" w:rsidRDefault="00FC5F02" w:rsidP="00A43034">
            <w:pPr>
              <w:spacing w:before="100" w:beforeAutospacing="1" w:after="100" w:afterAutospacing="1" w:line="288" w:lineRule="auto"/>
              <w:jc w:val="center"/>
              <w:rPr>
                <w:rFonts w:ascii="Times New Roman" w:hAnsi="Times New Roman" w:cs="Times New Roman"/>
                <w:b/>
                <w:sz w:val="28"/>
                <w:szCs w:val="28"/>
              </w:rPr>
            </w:pPr>
            <w:r w:rsidRPr="00A47200">
              <w:rPr>
                <w:rFonts w:ascii="Times New Roman" w:hAnsi="Times New Roman" w:cs="Times New Roman"/>
                <w:sz w:val="28"/>
                <w:szCs w:val="28"/>
              </w:rPr>
              <w:t>2012</w:t>
            </w:r>
          </w:p>
        </w:tc>
      </w:tr>
      <w:tr w:rsidR="00FC5F02" w:rsidRPr="003B34B8" w:rsidTr="0065308E">
        <w:tc>
          <w:tcPr>
            <w:tcW w:w="1364" w:type="dxa"/>
          </w:tcPr>
          <w:p w:rsidR="00FC5F02" w:rsidRPr="00A47200" w:rsidRDefault="00FC5F02" w:rsidP="00A43034">
            <w:pPr>
              <w:spacing w:before="100" w:beforeAutospacing="1" w:after="100" w:afterAutospacing="1" w:line="288" w:lineRule="auto"/>
              <w:jc w:val="both"/>
              <w:rPr>
                <w:rFonts w:ascii="Times New Roman" w:hAnsi="Times New Roman" w:cs="Times New Roman"/>
                <w:b/>
                <w:sz w:val="28"/>
                <w:szCs w:val="28"/>
              </w:rPr>
            </w:pPr>
            <w:r w:rsidRPr="00A47200">
              <w:rPr>
                <w:rFonts w:ascii="Times New Roman" w:hAnsi="Times New Roman" w:cs="Times New Roman"/>
                <w:sz w:val="28"/>
                <w:szCs w:val="28"/>
              </w:rPr>
              <w:t>Teritorija</w:t>
            </w:r>
          </w:p>
        </w:tc>
        <w:tc>
          <w:tcPr>
            <w:tcW w:w="1677" w:type="dxa"/>
          </w:tcPr>
          <w:p w:rsidR="00FC5F02" w:rsidRPr="00A47200" w:rsidRDefault="00FC5F02" w:rsidP="00A43034">
            <w:pPr>
              <w:spacing w:before="100" w:beforeAutospacing="1" w:after="100" w:afterAutospacing="1" w:line="288" w:lineRule="auto"/>
              <w:jc w:val="center"/>
              <w:rPr>
                <w:rFonts w:ascii="Times New Roman" w:hAnsi="Times New Roman" w:cs="Times New Roman"/>
                <w:b/>
                <w:sz w:val="28"/>
                <w:szCs w:val="28"/>
              </w:rPr>
            </w:pPr>
            <w:r w:rsidRPr="00A47200">
              <w:rPr>
                <w:rFonts w:ascii="Times New Roman" w:hAnsi="Times New Roman" w:cs="Times New Roman"/>
                <w:b/>
                <w:sz w:val="28"/>
                <w:szCs w:val="28"/>
              </w:rPr>
              <w:t xml:space="preserve">PV, tūkst. </w:t>
            </w:r>
            <w:proofErr w:type="spellStart"/>
            <w:r w:rsidRPr="00A47200">
              <w:rPr>
                <w:rFonts w:ascii="Times New Roman" w:hAnsi="Times New Roman" w:cs="Times New Roman"/>
                <w:b/>
                <w:sz w:val="28"/>
                <w:szCs w:val="28"/>
              </w:rPr>
              <w:t>euro</w:t>
            </w:r>
            <w:proofErr w:type="spellEnd"/>
          </w:p>
        </w:tc>
        <w:tc>
          <w:tcPr>
            <w:tcW w:w="1416" w:type="dxa"/>
          </w:tcPr>
          <w:p w:rsidR="00FC5F02" w:rsidRPr="00A47200" w:rsidRDefault="00FC5F02" w:rsidP="00A43034">
            <w:pPr>
              <w:spacing w:before="100" w:beforeAutospacing="1" w:after="100" w:afterAutospacing="1" w:line="288" w:lineRule="auto"/>
              <w:jc w:val="center"/>
              <w:rPr>
                <w:rFonts w:ascii="Times New Roman" w:hAnsi="Times New Roman" w:cs="Times New Roman"/>
                <w:b/>
                <w:bCs/>
                <w:sz w:val="28"/>
                <w:szCs w:val="28"/>
              </w:rPr>
            </w:pPr>
            <w:r w:rsidRPr="00A47200">
              <w:rPr>
                <w:rFonts w:ascii="Times New Roman" w:hAnsi="Times New Roman" w:cs="Times New Roman"/>
                <w:b/>
                <w:bCs/>
                <w:sz w:val="28"/>
                <w:szCs w:val="28"/>
              </w:rPr>
              <w:t>RKR</w:t>
            </w:r>
            <w:r w:rsidRPr="00A47200">
              <w:rPr>
                <w:rFonts w:ascii="Times New Roman" w:hAnsi="Times New Roman" w:cs="Times New Roman"/>
                <w:b/>
                <w:sz w:val="28"/>
                <w:szCs w:val="28"/>
              </w:rPr>
              <w:t>, %</w:t>
            </w:r>
          </w:p>
        </w:tc>
        <w:tc>
          <w:tcPr>
            <w:tcW w:w="1677" w:type="dxa"/>
          </w:tcPr>
          <w:p w:rsidR="00FC5F02" w:rsidRPr="00A47200" w:rsidRDefault="00FC5F02" w:rsidP="00A43034">
            <w:pPr>
              <w:spacing w:before="100" w:beforeAutospacing="1" w:after="100" w:afterAutospacing="1" w:line="288" w:lineRule="auto"/>
              <w:rPr>
                <w:rFonts w:ascii="Times New Roman" w:hAnsi="Times New Roman" w:cs="Times New Roman"/>
                <w:b/>
                <w:sz w:val="28"/>
                <w:szCs w:val="28"/>
              </w:rPr>
            </w:pPr>
            <w:r w:rsidRPr="00A47200">
              <w:rPr>
                <w:rFonts w:ascii="Times New Roman" w:hAnsi="Times New Roman" w:cs="Times New Roman"/>
                <w:b/>
                <w:sz w:val="28"/>
                <w:szCs w:val="28"/>
              </w:rPr>
              <w:t xml:space="preserve">PV, tūkst. </w:t>
            </w:r>
            <w:proofErr w:type="spellStart"/>
            <w:r w:rsidRPr="00A47200">
              <w:rPr>
                <w:rFonts w:ascii="Times New Roman" w:hAnsi="Times New Roman" w:cs="Times New Roman"/>
                <w:b/>
                <w:sz w:val="28"/>
                <w:szCs w:val="28"/>
              </w:rPr>
              <w:t>euro</w:t>
            </w:r>
            <w:proofErr w:type="spellEnd"/>
          </w:p>
        </w:tc>
        <w:tc>
          <w:tcPr>
            <w:tcW w:w="1416" w:type="dxa"/>
          </w:tcPr>
          <w:p w:rsidR="00FC5F02" w:rsidRPr="00A47200" w:rsidRDefault="00FC5F02" w:rsidP="00A43034">
            <w:pPr>
              <w:spacing w:before="100" w:beforeAutospacing="1" w:after="100" w:afterAutospacing="1" w:line="288" w:lineRule="auto"/>
              <w:jc w:val="both"/>
              <w:rPr>
                <w:rFonts w:ascii="Times New Roman" w:hAnsi="Times New Roman" w:cs="Times New Roman"/>
                <w:b/>
                <w:sz w:val="28"/>
                <w:szCs w:val="28"/>
              </w:rPr>
            </w:pPr>
            <w:r w:rsidRPr="00A47200">
              <w:rPr>
                <w:rFonts w:ascii="Times New Roman" w:hAnsi="Times New Roman" w:cs="Times New Roman"/>
                <w:b/>
                <w:bCs/>
                <w:sz w:val="28"/>
                <w:szCs w:val="28"/>
              </w:rPr>
              <w:t>RKR</w:t>
            </w:r>
            <w:r w:rsidRPr="00A47200">
              <w:rPr>
                <w:rFonts w:ascii="Times New Roman" w:hAnsi="Times New Roman" w:cs="Times New Roman"/>
                <w:b/>
                <w:sz w:val="28"/>
                <w:szCs w:val="28"/>
              </w:rPr>
              <w:t>, %</w:t>
            </w:r>
          </w:p>
        </w:tc>
      </w:tr>
      <w:tr w:rsidR="00FC5F02" w:rsidRPr="003B34B8" w:rsidTr="0065308E">
        <w:tc>
          <w:tcPr>
            <w:tcW w:w="1364" w:type="dxa"/>
          </w:tcPr>
          <w:p w:rsidR="00FC5F02" w:rsidRPr="00A47200" w:rsidRDefault="00FC5F02" w:rsidP="00A43034">
            <w:pPr>
              <w:spacing w:before="100" w:beforeAutospacing="1" w:after="100" w:afterAutospacing="1" w:line="288" w:lineRule="auto"/>
              <w:jc w:val="both"/>
              <w:rPr>
                <w:rFonts w:ascii="Times New Roman" w:hAnsi="Times New Roman" w:cs="Times New Roman"/>
                <w:sz w:val="28"/>
                <w:szCs w:val="28"/>
              </w:rPr>
            </w:pPr>
            <w:r w:rsidRPr="00A47200">
              <w:rPr>
                <w:rFonts w:ascii="Times New Roman" w:hAnsi="Times New Roman" w:cs="Times New Roman"/>
                <w:sz w:val="28"/>
                <w:szCs w:val="28"/>
              </w:rPr>
              <w:t>Latvija</w:t>
            </w:r>
          </w:p>
        </w:tc>
        <w:tc>
          <w:tcPr>
            <w:tcW w:w="1677" w:type="dxa"/>
          </w:tcPr>
          <w:p w:rsidR="00FC5F02" w:rsidRPr="00A47200" w:rsidRDefault="00FC5F02" w:rsidP="00A43034">
            <w:pPr>
              <w:spacing w:before="100" w:beforeAutospacing="1" w:after="100" w:afterAutospacing="1" w:line="288" w:lineRule="auto"/>
              <w:jc w:val="right"/>
              <w:rPr>
                <w:rFonts w:ascii="Times New Roman" w:hAnsi="Times New Roman" w:cs="Times New Roman"/>
                <w:b/>
                <w:sz w:val="28"/>
                <w:szCs w:val="28"/>
              </w:rPr>
            </w:pPr>
            <w:r w:rsidRPr="00A47200">
              <w:rPr>
                <w:rFonts w:ascii="Times New Roman" w:hAnsi="Times New Roman" w:cs="Times New Roman"/>
                <w:b/>
                <w:bCs/>
                <w:sz w:val="28"/>
                <w:szCs w:val="28"/>
              </w:rPr>
              <w:t>11 256 991</w:t>
            </w:r>
          </w:p>
        </w:tc>
        <w:tc>
          <w:tcPr>
            <w:tcW w:w="1416" w:type="dxa"/>
          </w:tcPr>
          <w:p w:rsidR="00FC5F02" w:rsidRPr="00A47200" w:rsidRDefault="00FC5F02" w:rsidP="00A43034">
            <w:pPr>
              <w:spacing w:before="100" w:beforeAutospacing="1" w:after="100" w:afterAutospacing="1" w:line="288" w:lineRule="auto"/>
              <w:jc w:val="right"/>
              <w:rPr>
                <w:rFonts w:ascii="Times New Roman" w:hAnsi="Times New Roman" w:cs="Times New Roman"/>
                <w:b/>
                <w:sz w:val="28"/>
                <w:szCs w:val="28"/>
              </w:rPr>
            </w:pPr>
            <w:r w:rsidRPr="00A47200">
              <w:rPr>
                <w:rFonts w:ascii="Times New Roman" w:hAnsi="Times New Roman" w:cs="Times New Roman"/>
                <w:b/>
                <w:bCs/>
                <w:sz w:val="28"/>
                <w:szCs w:val="28"/>
              </w:rPr>
              <w:t>0,4</w:t>
            </w:r>
          </w:p>
        </w:tc>
        <w:tc>
          <w:tcPr>
            <w:tcW w:w="1677" w:type="dxa"/>
          </w:tcPr>
          <w:p w:rsidR="00FC5F02" w:rsidRPr="00A47200" w:rsidRDefault="00FC5F02" w:rsidP="00A43034">
            <w:pPr>
              <w:spacing w:before="100" w:beforeAutospacing="1" w:after="100" w:afterAutospacing="1" w:line="288" w:lineRule="auto"/>
              <w:jc w:val="right"/>
              <w:rPr>
                <w:rFonts w:ascii="Times New Roman" w:hAnsi="Times New Roman" w:cs="Times New Roman"/>
                <w:b/>
                <w:sz w:val="28"/>
                <w:szCs w:val="28"/>
              </w:rPr>
            </w:pPr>
            <w:r w:rsidRPr="00A47200">
              <w:rPr>
                <w:rFonts w:ascii="Times New Roman" w:hAnsi="Times New Roman" w:cs="Times New Roman"/>
                <w:b/>
                <w:bCs/>
                <w:sz w:val="28"/>
                <w:szCs w:val="28"/>
              </w:rPr>
              <w:t>12 577 525</w:t>
            </w:r>
          </w:p>
        </w:tc>
        <w:tc>
          <w:tcPr>
            <w:tcW w:w="1416" w:type="dxa"/>
          </w:tcPr>
          <w:p w:rsidR="00FC5F02" w:rsidRPr="00A47200" w:rsidRDefault="00FC5F02" w:rsidP="00A43034">
            <w:pPr>
              <w:spacing w:before="100" w:beforeAutospacing="1" w:after="100" w:afterAutospacing="1" w:line="288" w:lineRule="auto"/>
              <w:jc w:val="right"/>
              <w:rPr>
                <w:rFonts w:ascii="Times New Roman" w:hAnsi="Times New Roman" w:cs="Times New Roman"/>
                <w:b/>
                <w:sz w:val="28"/>
                <w:szCs w:val="28"/>
              </w:rPr>
            </w:pPr>
            <w:r w:rsidRPr="00A47200">
              <w:rPr>
                <w:rFonts w:ascii="Times New Roman" w:hAnsi="Times New Roman" w:cs="Times New Roman"/>
                <w:b/>
                <w:bCs/>
                <w:sz w:val="28"/>
                <w:szCs w:val="28"/>
              </w:rPr>
              <w:t>0,4</w:t>
            </w:r>
          </w:p>
        </w:tc>
      </w:tr>
      <w:tr w:rsidR="00FC5F02" w:rsidRPr="003B34B8" w:rsidTr="0065308E">
        <w:tc>
          <w:tcPr>
            <w:tcW w:w="1364" w:type="dxa"/>
          </w:tcPr>
          <w:p w:rsidR="00FC5F02" w:rsidRPr="00A47200" w:rsidRDefault="00FC5F02" w:rsidP="00A43034">
            <w:pPr>
              <w:spacing w:before="100" w:beforeAutospacing="1" w:after="100" w:afterAutospacing="1" w:line="288" w:lineRule="auto"/>
              <w:jc w:val="both"/>
              <w:rPr>
                <w:rFonts w:ascii="Times New Roman" w:hAnsi="Times New Roman" w:cs="Times New Roman"/>
                <w:b/>
                <w:sz w:val="28"/>
                <w:szCs w:val="28"/>
              </w:rPr>
            </w:pPr>
            <w:r w:rsidRPr="00A47200">
              <w:rPr>
                <w:rFonts w:ascii="Times New Roman" w:hAnsi="Times New Roman" w:cs="Times New Roman"/>
                <w:sz w:val="28"/>
                <w:szCs w:val="28"/>
              </w:rPr>
              <w:t>Rīga</w:t>
            </w:r>
          </w:p>
        </w:tc>
        <w:tc>
          <w:tcPr>
            <w:tcW w:w="1677" w:type="dxa"/>
          </w:tcPr>
          <w:p w:rsidR="00FC5F02" w:rsidRPr="00A47200" w:rsidRDefault="00FC5F02" w:rsidP="00A43034">
            <w:pPr>
              <w:spacing w:before="100" w:beforeAutospacing="1" w:after="100" w:afterAutospacing="1" w:line="288" w:lineRule="auto"/>
              <w:jc w:val="right"/>
              <w:rPr>
                <w:rFonts w:ascii="Times New Roman" w:hAnsi="Times New Roman" w:cs="Times New Roman"/>
                <w:sz w:val="28"/>
                <w:szCs w:val="28"/>
              </w:rPr>
            </w:pPr>
            <w:r w:rsidRPr="00A47200">
              <w:rPr>
                <w:rFonts w:ascii="Times New Roman" w:hAnsi="Times New Roman" w:cs="Times New Roman"/>
                <w:bCs/>
                <w:sz w:val="28"/>
                <w:szCs w:val="28"/>
              </w:rPr>
              <w:t>5 825 794</w:t>
            </w:r>
          </w:p>
        </w:tc>
        <w:tc>
          <w:tcPr>
            <w:tcW w:w="1416" w:type="dxa"/>
          </w:tcPr>
          <w:p w:rsidR="00FC5F02" w:rsidRPr="00A47200" w:rsidRDefault="00FC5F02" w:rsidP="00A43034">
            <w:pPr>
              <w:spacing w:before="100" w:beforeAutospacing="1" w:after="100" w:afterAutospacing="1" w:line="288" w:lineRule="auto"/>
              <w:jc w:val="right"/>
              <w:rPr>
                <w:rFonts w:ascii="Times New Roman" w:hAnsi="Times New Roman" w:cs="Times New Roman"/>
                <w:sz w:val="28"/>
                <w:szCs w:val="28"/>
              </w:rPr>
            </w:pPr>
            <w:r w:rsidRPr="00A47200">
              <w:rPr>
                <w:rFonts w:ascii="Times New Roman" w:hAnsi="Times New Roman" w:cs="Times New Roman"/>
                <w:bCs/>
                <w:sz w:val="28"/>
                <w:szCs w:val="28"/>
              </w:rPr>
              <w:t>0,5</w:t>
            </w:r>
          </w:p>
        </w:tc>
        <w:tc>
          <w:tcPr>
            <w:tcW w:w="1677" w:type="dxa"/>
          </w:tcPr>
          <w:p w:rsidR="00FC5F02" w:rsidRPr="00A47200" w:rsidRDefault="00FC5F02" w:rsidP="00A43034">
            <w:pPr>
              <w:spacing w:before="100" w:beforeAutospacing="1" w:after="100" w:afterAutospacing="1" w:line="288" w:lineRule="auto"/>
              <w:jc w:val="right"/>
              <w:rPr>
                <w:rFonts w:ascii="Times New Roman" w:hAnsi="Times New Roman" w:cs="Times New Roman"/>
                <w:sz w:val="28"/>
                <w:szCs w:val="28"/>
              </w:rPr>
            </w:pPr>
            <w:r w:rsidRPr="00A47200">
              <w:rPr>
                <w:rFonts w:ascii="Times New Roman" w:hAnsi="Times New Roman" w:cs="Times New Roman"/>
                <w:bCs/>
                <w:sz w:val="28"/>
                <w:szCs w:val="28"/>
              </w:rPr>
              <w:t>6 768 621</w:t>
            </w:r>
          </w:p>
        </w:tc>
        <w:tc>
          <w:tcPr>
            <w:tcW w:w="1416" w:type="dxa"/>
          </w:tcPr>
          <w:p w:rsidR="00FC5F02" w:rsidRPr="00A47200" w:rsidRDefault="00FC5F02" w:rsidP="00A43034">
            <w:pPr>
              <w:spacing w:before="100" w:beforeAutospacing="1" w:after="100" w:afterAutospacing="1" w:line="288" w:lineRule="auto"/>
              <w:jc w:val="right"/>
              <w:rPr>
                <w:rFonts w:ascii="Times New Roman" w:hAnsi="Times New Roman" w:cs="Times New Roman"/>
                <w:sz w:val="28"/>
                <w:szCs w:val="28"/>
              </w:rPr>
            </w:pPr>
            <w:r w:rsidRPr="00A47200">
              <w:rPr>
                <w:rFonts w:ascii="Times New Roman" w:hAnsi="Times New Roman" w:cs="Times New Roman"/>
                <w:bCs/>
                <w:sz w:val="28"/>
                <w:szCs w:val="28"/>
              </w:rPr>
              <w:t>0,6</w:t>
            </w:r>
          </w:p>
        </w:tc>
      </w:tr>
      <w:tr w:rsidR="00FC5F02" w:rsidRPr="003B34B8" w:rsidTr="0065308E">
        <w:tc>
          <w:tcPr>
            <w:tcW w:w="1364" w:type="dxa"/>
          </w:tcPr>
          <w:p w:rsidR="00FC5F02" w:rsidRPr="00A47200" w:rsidRDefault="00FC5F02" w:rsidP="00A43034">
            <w:pPr>
              <w:spacing w:before="100" w:beforeAutospacing="1" w:after="100" w:afterAutospacing="1" w:line="288" w:lineRule="auto"/>
              <w:jc w:val="both"/>
              <w:rPr>
                <w:rFonts w:ascii="Times New Roman" w:hAnsi="Times New Roman" w:cs="Times New Roman"/>
                <w:b/>
                <w:sz w:val="28"/>
                <w:szCs w:val="28"/>
              </w:rPr>
            </w:pPr>
            <w:r w:rsidRPr="00A47200">
              <w:rPr>
                <w:rFonts w:ascii="Times New Roman" w:hAnsi="Times New Roman" w:cs="Times New Roman"/>
                <w:sz w:val="28"/>
                <w:szCs w:val="28"/>
              </w:rPr>
              <w:t>Daugavpils</w:t>
            </w:r>
          </w:p>
        </w:tc>
        <w:tc>
          <w:tcPr>
            <w:tcW w:w="1677" w:type="dxa"/>
          </w:tcPr>
          <w:p w:rsidR="00FC5F02" w:rsidRPr="00A47200" w:rsidRDefault="00FC5F02" w:rsidP="00A43034">
            <w:pPr>
              <w:spacing w:before="100" w:beforeAutospacing="1" w:after="100" w:afterAutospacing="1" w:line="288" w:lineRule="auto"/>
              <w:jc w:val="right"/>
              <w:rPr>
                <w:rFonts w:ascii="Times New Roman" w:hAnsi="Times New Roman" w:cs="Times New Roman"/>
                <w:sz w:val="28"/>
                <w:szCs w:val="28"/>
              </w:rPr>
            </w:pPr>
            <w:r w:rsidRPr="00A47200">
              <w:rPr>
                <w:rFonts w:ascii="Times New Roman" w:hAnsi="Times New Roman" w:cs="Times New Roman"/>
                <w:bCs/>
                <w:sz w:val="28"/>
                <w:szCs w:val="28"/>
              </w:rPr>
              <w:t>381 230</w:t>
            </w:r>
          </w:p>
        </w:tc>
        <w:tc>
          <w:tcPr>
            <w:tcW w:w="1416" w:type="dxa"/>
          </w:tcPr>
          <w:p w:rsidR="00FC5F02" w:rsidRPr="00A47200" w:rsidRDefault="00FC5F02" w:rsidP="00A43034">
            <w:pPr>
              <w:spacing w:before="100" w:beforeAutospacing="1" w:after="100" w:afterAutospacing="1" w:line="288" w:lineRule="auto"/>
              <w:jc w:val="right"/>
              <w:rPr>
                <w:rFonts w:ascii="Times New Roman" w:hAnsi="Times New Roman" w:cs="Times New Roman"/>
                <w:sz w:val="28"/>
                <w:szCs w:val="28"/>
              </w:rPr>
            </w:pPr>
            <w:r w:rsidRPr="00A47200">
              <w:rPr>
                <w:rFonts w:ascii="Times New Roman" w:hAnsi="Times New Roman" w:cs="Times New Roman"/>
                <w:bCs/>
                <w:sz w:val="28"/>
                <w:szCs w:val="28"/>
              </w:rPr>
              <w:t>1,8</w:t>
            </w:r>
          </w:p>
        </w:tc>
        <w:tc>
          <w:tcPr>
            <w:tcW w:w="1677" w:type="dxa"/>
          </w:tcPr>
          <w:p w:rsidR="00FC5F02" w:rsidRPr="00A47200" w:rsidRDefault="00FC5F02" w:rsidP="00A43034">
            <w:pPr>
              <w:spacing w:before="100" w:beforeAutospacing="1" w:after="100" w:afterAutospacing="1" w:line="288" w:lineRule="auto"/>
              <w:jc w:val="right"/>
              <w:rPr>
                <w:rFonts w:ascii="Times New Roman" w:hAnsi="Times New Roman" w:cs="Times New Roman"/>
                <w:sz w:val="28"/>
                <w:szCs w:val="28"/>
              </w:rPr>
            </w:pPr>
            <w:r w:rsidRPr="00A47200">
              <w:rPr>
                <w:rFonts w:ascii="Times New Roman" w:hAnsi="Times New Roman" w:cs="Times New Roman"/>
                <w:bCs/>
                <w:sz w:val="28"/>
                <w:szCs w:val="28"/>
              </w:rPr>
              <w:t>406 662</w:t>
            </w:r>
          </w:p>
        </w:tc>
        <w:tc>
          <w:tcPr>
            <w:tcW w:w="1416" w:type="dxa"/>
          </w:tcPr>
          <w:p w:rsidR="00FC5F02" w:rsidRPr="00A47200" w:rsidRDefault="00FC5F02" w:rsidP="00A43034">
            <w:pPr>
              <w:spacing w:before="100" w:beforeAutospacing="1" w:after="100" w:afterAutospacing="1" w:line="288" w:lineRule="auto"/>
              <w:jc w:val="right"/>
              <w:rPr>
                <w:rFonts w:ascii="Times New Roman" w:hAnsi="Times New Roman" w:cs="Times New Roman"/>
                <w:sz w:val="28"/>
                <w:szCs w:val="28"/>
              </w:rPr>
            </w:pPr>
            <w:r w:rsidRPr="00A47200">
              <w:rPr>
                <w:rFonts w:ascii="Times New Roman" w:hAnsi="Times New Roman" w:cs="Times New Roman"/>
                <w:bCs/>
                <w:sz w:val="28"/>
                <w:szCs w:val="28"/>
              </w:rPr>
              <w:t>1,9</w:t>
            </w:r>
          </w:p>
        </w:tc>
      </w:tr>
      <w:tr w:rsidR="00FC5F02" w:rsidRPr="003B34B8" w:rsidTr="0065308E">
        <w:tc>
          <w:tcPr>
            <w:tcW w:w="1364" w:type="dxa"/>
          </w:tcPr>
          <w:p w:rsidR="00FC5F02" w:rsidRPr="00A47200" w:rsidRDefault="00FC5F02" w:rsidP="00A43034">
            <w:pPr>
              <w:spacing w:before="100" w:beforeAutospacing="1" w:after="100" w:afterAutospacing="1" w:line="288" w:lineRule="auto"/>
              <w:jc w:val="both"/>
              <w:rPr>
                <w:rFonts w:ascii="Times New Roman" w:hAnsi="Times New Roman" w:cs="Times New Roman"/>
                <w:b/>
                <w:sz w:val="28"/>
                <w:szCs w:val="28"/>
              </w:rPr>
            </w:pPr>
            <w:r w:rsidRPr="00A47200">
              <w:rPr>
                <w:rFonts w:ascii="Times New Roman" w:hAnsi="Times New Roman" w:cs="Times New Roman"/>
                <w:sz w:val="28"/>
                <w:szCs w:val="28"/>
              </w:rPr>
              <w:t>Jelgava</w:t>
            </w:r>
          </w:p>
        </w:tc>
        <w:tc>
          <w:tcPr>
            <w:tcW w:w="1677" w:type="dxa"/>
          </w:tcPr>
          <w:p w:rsidR="00FC5F02" w:rsidRPr="00A47200" w:rsidRDefault="00FC5F02" w:rsidP="00A43034">
            <w:pPr>
              <w:spacing w:before="100" w:beforeAutospacing="1" w:after="100" w:afterAutospacing="1" w:line="288" w:lineRule="auto"/>
              <w:jc w:val="right"/>
              <w:rPr>
                <w:rFonts w:ascii="Times New Roman" w:hAnsi="Times New Roman" w:cs="Times New Roman"/>
                <w:sz w:val="28"/>
                <w:szCs w:val="28"/>
              </w:rPr>
            </w:pPr>
            <w:r w:rsidRPr="00A47200">
              <w:rPr>
                <w:rFonts w:ascii="Times New Roman" w:hAnsi="Times New Roman" w:cs="Times New Roman"/>
                <w:bCs/>
                <w:sz w:val="28"/>
                <w:szCs w:val="28"/>
              </w:rPr>
              <w:t>261 884</w:t>
            </w:r>
          </w:p>
        </w:tc>
        <w:tc>
          <w:tcPr>
            <w:tcW w:w="1416" w:type="dxa"/>
          </w:tcPr>
          <w:p w:rsidR="00FC5F02" w:rsidRPr="00A47200" w:rsidRDefault="00FC5F02" w:rsidP="00A43034">
            <w:pPr>
              <w:spacing w:before="100" w:beforeAutospacing="1" w:after="100" w:afterAutospacing="1" w:line="288" w:lineRule="auto"/>
              <w:jc w:val="right"/>
              <w:rPr>
                <w:rFonts w:ascii="Times New Roman" w:hAnsi="Times New Roman" w:cs="Times New Roman"/>
                <w:sz w:val="28"/>
                <w:szCs w:val="28"/>
              </w:rPr>
            </w:pPr>
            <w:r w:rsidRPr="00A47200">
              <w:rPr>
                <w:rFonts w:ascii="Times New Roman" w:hAnsi="Times New Roman" w:cs="Times New Roman"/>
                <w:bCs/>
                <w:sz w:val="28"/>
                <w:szCs w:val="28"/>
              </w:rPr>
              <w:t>2,5</w:t>
            </w:r>
          </w:p>
        </w:tc>
        <w:tc>
          <w:tcPr>
            <w:tcW w:w="1677" w:type="dxa"/>
          </w:tcPr>
          <w:p w:rsidR="00FC5F02" w:rsidRPr="00A47200" w:rsidRDefault="00FC5F02" w:rsidP="00A43034">
            <w:pPr>
              <w:spacing w:before="100" w:beforeAutospacing="1" w:after="100" w:afterAutospacing="1" w:line="288" w:lineRule="auto"/>
              <w:jc w:val="right"/>
              <w:rPr>
                <w:rFonts w:ascii="Times New Roman" w:hAnsi="Times New Roman" w:cs="Times New Roman"/>
                <w:sz w:val="28"/>
                <w:szCs w:val="28"/>
              </w:rPr>
            </w:pPr>
            <w:r w:rsidRPr="00A47200">
              <w:rPr>
                <w:rFonts w:ascii="Times New Roman" w:hAnsi="Times New Roman" w:cs="Times New Roman"/>
                <w:bCs/>
                <w:sz w:val="28"/>
                <w:szCs w:val="28"/>
              </w:rPr>
              <w:t>291 528</w:t>
            </w:r>
          </w:p>
        </w:tc>
        <w:tc>
          <w:tcPr>
            <w:tcW w:w="1416" w:type="dxa"/>
          </w:tcPr>
          <w:p w:rsidR="00FC5F02" w:rsidRPr="00A47200" w:rsidRDefault="00FC5F02" w:rsidP="00A43034">
            <w:pPr>
              <w:spacing w:before="100" w:beforeAutospacing="1" w:after="100" w:afterAutospacing="1" w:line="288" w:lineRule="auto"/>
              <w:jc w:val="right"/>
              <w:rPr>
                <w:rFonts w:ascii="Times New Roman" w:hAnsi="Times New Roman" w:cs="Times New Roman"/>
                <w:sz w:val="28"/>
                <w:szCs w:val="28"/>
              </w:rPr>
            </w:pPr>
            <w:r w:rsidRPr="00A47200">
              <w:rPr>
                <w:rFonts w:ascii="Times New Roman" w:hAnsi="Times New Roman" w:cs="Times New Roman"/>
                <w:bCs/>
                <w:sz w:val="28"/>
                <w:szCs w:val="28"/>
              </w:rPr>
              <w:t>3,6</w:t>
            </w:r>
          </w:p>
        </w:tc>
      </w:tr>
      <w:tr w:rsidR="00FC5F02" w:rsidRPr="003B34B8" w:rsidTr="0065308E">
        <w:tc>
          <w:tcPr>
            <w:tcW w:w="1364" w:type="dxa"/>
          </w:tcPr>
          <w:p w:rsidR="00FC5F02" w:rsidRPr="00A47200" w:rsidRDefault="00FC5F02" w:rsidP="00A43034">
            <w:pPr>
              <w:spacing w:before="100" w:beforeAutospacing="1" w:after="100" w:afterAutospacing="1" w:line="288" w:lineRule="auto"/>
              <w:jc w:val="both"/>
              <w:rPr>
                <w:rFonts w:ascii="Times New Roman" w:hAnsi="Times New Roman" w:cs="Times New Roman"/>
                <w:b/>
                <w:sz w:val="28"/>
                <w:szCs w:val="28"/>
              </w:rPr>
            </w:pPr>
            <w:r w:rsidRPr="00A47200">
              <w:rPr>
                <w:rFonts w:ascii="Times New Roman" w:hAnsi="Times New Roman" w:cs="Times New Roman"/>
                <w:sz w:val="28"/>
                <w:szCs w:val="28"/>
              </w:rPr>
              <w:t>Jēkabpils</w:t>
            </w:r>
          </w:p>
        </w:tc>
        <w:tc>
          <w:tcPr>
            <w:tcW w:w="1677" w:type="dxa"/>
          </w:tcPr>
          <w:p w:rsidR="00FC5F02" w:rsidRPr="00A47200" w:rsidRDefault="00FC5F02" w:rsidP="00A43034">
            <w:pPr>
              <w:spacing w:before="100" w:beforeAutospacing="1" w:after="100" w:afterAutospacing="1" w:line="288" w:lineRule="auto"/>
              <w:jc w:val="right"/>
              <w:rPr>
                <w:rFonts w:ascii="Times New Roman" w:hAnsi="Times New Roman" w:cs="Times New Roman"/>
                <w:sz w:val="28"/>
                <w:szCs w:val="28"/>
              </w:rPr>
            </w:pPr>
            <w:r w:rsidRPr="00A47200">
              <w:rPr>
                <w:rFonts w:ascii="Times New Roman" w:hAnsi="Times New Roman" w:cs="Times New Roman"/>
                <w:bCs/>
                <w:sz w:val="28"/>
                <w:szCs w:val="28"/>
              </w:rPr>
              <w:t>110 281</w:t>
            </w:r>
          </w:p>
        </w:tc>
        <w:tc>
          <w:tcPr>
            <w:tcW w:w="1416" w:type="dxa"/>
          </w:tcPr>
          <w:p w:rsidR="00FC5F02" w:rsidRPr="00A47200" w:rsidRDefault="00FC5F02" w:rsidP="00A43034">
            <w:pPr>
              <w:spacing w:before="100" w:beforeAutospacing="1" w:after="100" w:afterAutospacing="1" w:line="288" w:lineRule="auto"/>
              <w:jc w:val="right"/>
              <w:rPr>
                <w:rFonts w:ascii="Times New Roman" w:hAnsi="Times New Roman" w:cs="Times New Roman"/>
                <w:sz w:val="28"/>
                <w:szCs w:val="28"/>
              </w:rPr>
            </w:pPr>
            <w:r w:rsidRPr="00A47200">
              <w:rPr>
                <w:rFonts w:ascii="Times New Roman" w:hAnsi="Times New Roman" w:cs="Times New Roman"/>
                <w:bCs/>
                <w:sz w:val="28"/>
                <w:szCs w:val="28"/>
              </w:rPr>
              <w:t>5,0</w:t>
            </w:r>
          </w:p>
        </w:tc>
        <w:tc>
          <w:tcPr>
            <w:tcW w:w="1677" w:type="dxa"/>
          </w:tcPr>
          <w:p w:rsidR="00FC5F02" w:rsidRPr="00A47200" w:rsidRDefault="00FC5F02" w:rsidP="00A43034">
            <w:pPr>
              <w:spacing w:before="100" w:beforeAutospacing="1" w:after="100" w:afterAutospacing="1" w:line="288" w:lineRule="auto"/>
              <w:jc w:val="right"/>
              <w:rPr>
                <w:rFonts w:ascii="Times New Roman" w:hAnsi="Times New Roman" w:cs="Times New Roman"/>
                <w:sz w:val="28"/>
                <w:szCs w:val="28"/>
              </w:rPr>
            </w:pPr>
            <w:r w:rsidRPr="00A47200">
              <w:rPr>
                <w:rFonts w:ascii="Times New Roman" w:hAnsi="Times New Roman" w:cs="Times New Roman"/>
                <w:bCs/>
                <w:sz w:val="28"/>
                <w:szCs w:val="28"/>
              </w:rPr>
              <w:t>111 653</w:t>
            </w:r>
          </w:p>
        </w:tc>
        <w:tc>
          <w:tcPr>
            <w:tcW w:w="1416" w:type="dxa"/>
          </w:tcPr>
          <w:p w:rsidR="00FC5F02" w:rsidRPr="00A47200" w:rsidRDefault="00FC5F02" w:rsidP="00A43034">
            <w:pPr>
              <w:spacing w:before="100" w:beforeAutospacing="1" w:after="100" w:afterAutospacing="1" w:line="288" w:lineRule="auto"/>
              <w:jc w:val="right"/>
              <w:rPr>
                <w:rFonts w:ascii="Times New Roman" w:hAnsi="Times New Roman" w:cs="Times New Roman"/>
                <w:sz w:val="28"/>
                <w:szCs w:val="28"/>
              </w:rPr>
            </w:pPr>
            <w:r w:rsidRPr="00A47200">
              <w:rPr>
                <w:rFonts w:ascii="Times New Roman" w:hAnsi="Times New Roman" w:cs="Times New Roman"/>
                <w:bCs/>
                <w:sz w:val="28"/>
                <w:szCs w:val="28"/>
              </w:rPr>
              <w:t>6,6</w:t>
            </w:r>
          </w:p>
        </w:tc>
      </w:tr>
      <w:tr w:rsidR="00FC5F02" w:rsidRPr="003B34B8" w:rsidTr="0065308E">
        <w:tc>
          <w:tcPr>
            <w:tcW w:w="1364" w:type="dxa"/>
          </w:tcPr>
          <w:p w:rsidR="00FC5F02" w:rsidRPr="00A47200" w:rsidRDefault="00FC5F02" w:rsidP="00A43034">
            <w:pPr>
              <w:spacing w:before="100" w:beforeAutospacing="1" w:after="100" w:afterAutospacing="1" w:line="288" w:lineRule="auto"/>
              <w:jc w:val="both"/>
              <w:rPr>
                <w:rFonts w:ascii="Times New Roman" w:hAnsi="Times New Roman" w:cs="Times New Roman"/>
                <w:b/>
                <w:sz w:val="28"/>
                <w:szCs w:val="28"/>
              </w:rPr>
            </w:pPr>
            <w:r w:rsidRPr="00A47200">
              <w:rPr>
                <w:rFonts w:ascii="Times New Roman" w:hAnsi="Times New Roman" w:cs="Times New Roman"/>
                <w:sz w:val="28"/>
                <w:szCs w:val="28"/>
              </w:rPr>
              <w:t>Jūrmala</w:t>
            </w:r>
          </w:p>
        </w:tc>
        <w:tc>
          <w:tcPr>
            <w:tcW w:w="1677" w:type="dxa"/>
          </w:tcPr>
          <w:p w:rsidR="00FC5F02" w:rsidRPr="00A47200" w:rsidRDefault="00FC5F02" w:rsidP="00A43034">
            <w:pPr>
              <w:spacing w:before="100" w:beforeAutospacing="1" w:after="100" w:afterAutospacing="1" w:line="288" w:lineRule="auto"/>
              <w:jc w:val="right"/>
              <w:rPr>
                <w:rFonts w:ascii="Times New Roman" w:hAnsi="Times New Roman" w:cs="Times New Roman"/>
                <w:sz w:val="28"/>
                <w:szCs w:val="28"/>
              </w:rPr>
            </w:pPr>
            <w:r w:rsidRPr="00A47200">
              <w:rPr>
                <w:rFonts w:ascii="Times New Roman" w:hAnsi="Times New Roman" w:cs="Times New Roman"/>
                <w:bCs/>
                <w:sz w:val="28"/>
                <w:szCs w:val="28"/>
              </w:rPr>
              <w:t>123 451</w:t>
            </w:r>
          </w:p>
        </w:tc>
        <w:tc>
          <w:tcPr>
            <w:tcW w:w="1416" w:type="dxa"/>
          </w:tcPr>
          <w:p w:rsidR="00FC5F02" w:rsidRPr="00A47200" w:rsidRDefault="00FC5F02" w:rsidP="00A43034">
            <w:pPr>
              <w:spacing w:before="100" w:beforeAutospacing="1" w:after="100" w:afterAutospacing="1" w:line="288" w:lineRule="auto"/>
              <w:jc w:val="right"/>
              <w:rPr>
                <w:rFonts w:ascii="Times New Roman" w:hAnsi="Times New Roman" w:cs="Times New Roman"/>
                <w:sz w:val="28"/>
                <w:szCs w:val="28"/>
              </w:rPr>
            </w:pPr>
            <w:r w:rsidRPr="00A47200">
              <w:rPr>
                <w:rFonts w:ascii="Times New Roman" w:hAnsi="Times New Roman" w:cs="Times New Roman"/>
                <w:bCs/>
                <w:sz w:val="28"/>
                <w:szCs w:val="28"/>
              </w:rPr>
              <w:t>2,6</w:t>
            </w:r>
          </w:p>
        </w:tc>
        <w:tc>
          <w:tcPr>
            <w:tcW w:w="1677" w:type="dxa"/>
          </w:tcPr>
          <w:p w:rsidR="00FC5F02" w:rsidRPr="00A47200" w:rsidRDefault="00FC5F02" w:rsidP="00A43034">
            <w:pPr>
              <w:spacing w:before="100" w:beforeAutospacing="1" w:after="100" w:afterAutospacing="1" w:line="288" w:lineRule="auto"/>
              <w:jc w:val="right"/>
              <w:rPr>
                <w:rFonts w:ascii="Times New Roman" w:hAnsi="Times New Roman" w:cs="Times New Roman"/>
                <w:sz w:val="28"/>
                <w:szCs w:val="28"/>
              </w:rPr>
            </w:pPr>
            <w:r w:rsidRPr="00A47200">
              <w:rPr>
                <w:rFonts w:ascii="Times New Roman" w:hAnsi="Times New Roman" w:cs="Times New Roman"/>
                <w:bCs/>
                <w:sz w:val="28"/>
                <w:szCs w:val="28"/>
              </w:rPr>
              <w:t>137 077</w:t>
            </w:r>
          </w:p>
        </w:tc>
        <w:tc>
          <w:tcPr>
            <w:tcW w:w="1416" w:type="dxa"/>
          </w:tcPr>
          <w:p w:rsidR="00FC5F02" w:rsidRPr="00A47200" w:rsidRDefault="00FC5F02" w:rsidP="00A43034">
            <w:pPr>
              <w:spacing w:before="100" w:beforeAutospacing="1" w:after="100" w:afterAutospacing="1" w:line="288" w:lineRule="auto"/>
              <w:jc w:val="right"/>
              <w:rPr>
                <w:rFonts w:ascii="Times New Roman" w:hAnsi="Times New Roman" w:cs="Times New Roman"/>
                <w:sz w:val="28"/>
                <w:szCs w:val="28"/>
              </w:rPr>
            </w:pPr>
            <w:r w:rsidRPr="00A47200">
              <w:rPr>
                <w:rFonts w:ascii="Times New Roman" w:hAnsi="Times New Roman" w:cs="Times New Roman"/>
                <w:bCs/>
                <w:sz w:val="28"/>
                <w:szCs w:val="28"/>
              </w:rPr>
              <w:t>4,0</w:t>
            </w:r>
          </w:p>
        </w:tc>
      </w:tr>
      <w:tr w:rsidR="00FC5F02" w:rsidRPr="003B34B8" w:rsidTr="0065308E">
        <w:tc>
          <w:tcPr>
            <w:tcW w:w="1364" w:type="dxa"/>
          </w:tcPr>
          <w:p w:rsidR="00FC5F02" w:rsidRPr="00A47200" w:rsidRDefault="00FC5F02" w:rsidP="00A43034">
            <w:pPr>
              <w:spacing w:before="100" w:beforeAutospacing="1" w:after="100" w:afterAutospacing="1" w:line="288" w:lineRule="auto"/>
              <w:jc w:val="both"/>
              <w:rPr>
                <w:rFonts w:ascii="Times New Roman" w:hAnsi="Times New Roman" w:cs="Times New Roman"/>
                <w:b/>
                <w:sz w:val="28"/>
                <w:szCs w:val="28"/>
              </w:rPr>
            </w:pPr>
            <w:r w:rsidRPr="00A47200">
              <w:rPr>
                <w:rFonts w:ascii="Times New Roman" w:hAnsi="Times New Roman" w:cs="Times New Roman"/>
                <w:sz w:val="28"/>
                <w:szCs w:val="28"/>
              </w:rPr>
              <w:t>Liepāja</w:t>
            </w:r>
          </w:p>
        </w:tc>
        <w:tc>
          <w:tcPr>
            <w:tcW w:w="1677" w:type="dxa"/>
          </w:tcPr>
          <w:p w:rsidR="00FC5F02" w:rsidRPr="00A47200" w:rsidRDefault="00FC5F02" w:rsidP="00A43034">
            <w:pPr>
              <w:spacing w:before="100" w:beforeAutospacing="1" w:after="100" w:afterAutospacing="1" w:line="288" w:lineRule="auto"/>
              <w:jc w:val="right"/>
              <w:rPr>
                <w:rFonts w:ascii="Times New Roman" w:hAnsi="Times New Roman" w:cs="Times New Roman"/>
                <w:sz w:val="28"/>
                <w:szCs w:val="28"/>
              </w:rPr>
            </w:pPr>
            <w:r w:rsidRPr="00A47200">
              <w:rPr>
                <w:rFonts w:ascii="Times New Roman" w:hAnsi="Times New Roman" w:cs="Times New Roman"/>
                <w:bCs/>
                <w:sz w:val="28"/>
                <w:szCs w:val="28"/>
              </w:rPr>
              <w:t>456 787</w:t>
            </w:r>
          </w:p>
        </w:tc>
        <w:tc>
          <w:tcPr>
            <w:tcW w:w="1416" w:type="dxa"/>
          </w:tcPr>
          <w:p w:rsidR="00FC5F02" w:rsidRPr="00A47200" w:rsidRDefault="00FC5F02" w:rsidP="00A43034">
            <w:pPr>
              <w:spacing w:before="100" w:beforeAutospacing="1" w:after="100" w:afterAutospacing="1" w:line="288" w:lineRule="auto"/>
              <w:jc w:val="right"/>
              <w:rPr>
                <w:rFonts w:ascii="Times New Roman" w:hAnsi="Times New Roman" w:cs="Times New Roman"/>
                <w:sz w:val="28"/>
                <w:szCs w:val="28"/>
              </w:rPr>
            </w:pPr>
            <w:r w:rsidRPr="00A47200">
              <w:rPr>
                <w:rFonts w:ascii="Times New Roman" w:hAnsi="Times New Roman" w:cs="Times New Roman"/>
                <w:bCs/>
                <w:sz w:val="28"/>
                <w:szCs w:val="28"/>
              </w:rPr>
              <w:t>2,6</w:t>
            </w:r>
          </w:p>
        </w:tc>
        <w:tc>
          <w:tcPr>
            <w:tcW w:w="1677" w:type="dxa"/>
          </w:tcPr>
          <w:p w:rsidR="00FC5F02" w:rsidRPr="00A47200" w:rsidRDefault="00FC5F02" w:rsidP="00A43034">
            <w:pPr>
              <w:spacing w:before="100" w:beforeAutospacing="1" w:after="100" w:afterAutospacing="1" w:line="288" w:lineRule="auto"/>
              <w:jc w:val="right"/>
              <w:rPr>
                <w:rFonts w:ascii="Times New Roman" w:hAnsi="Times New Roman" w:cs="Times New Roman"/>
                <w:sz w:val="28"/>
                <w:szCs w:val="28"/>
              </w:rPr>
            </w:pPr>
            <w:r w:rsidRPr="00A47200">
              <w:rPr>
                <w:rFonts w:ascii="Times New Roman" w:hAnsi="Times New Roman" w:cs="Times New Roman"/>
                <w:bCs/>
                <w:sz w:val="28"/>
                <w:szCs w:val="28"/>
              </w:rPr>
              <w:t>432 550</w:t>
            </w:r>
          </w:p>
        </w:tc>
        <w:tc>
          <w:tcPr>
            <w:tcW w:w="1416" w:type="dxa"/>
          </w:tcPr>
          <w:p w:rsidR="00FC5F02" w:rsidRPr="00A47200" w:rsidRDefault="00FC5F02" w:rsidP="00A43034">
            <w:pPr>
              <w:spacing w:before="100" w:beforeAutospacing="1" w:after="100" w:afterAutospacing="1" w:line="288" w:lineRule="auto"/>
              <w:jc w:val="right"/>
              <w:rPr>
                <w:rFonts w:ascii="Times New Roman" w:hAnsi="Times New Roman" w:cs="Times New Roman"/>
                <w:sz w:val="28"/>
                <w:szCs w:val="28"/>
              </w:rPr>
            </w:pPr>
            <w:r w:rsidRPr="00A47200">
              <w:rPr>
                <w:rFonts w:ascii="Times New Roman" w:hAnsi="Times New Roman" w:cs="Times New Roman"/>
                <w:bCs/>
                <w:sz w:val="28"/>
                <w:szCs w:val="28"/>
              </w:rPr>
              <w:t>2,9</w:t>
            </w:r>
          </w:p>
        </w:tc>
      </w:tr>
      <w:tr w:rsidR="00FC5F02" w:rsidRPr="003B34B8" w:rsidTr="0065308E">
        <w:tc>
          <w:tcPr>
            <w:tcW w:w="1364" w:type="dxa"/>
          </w:tcPr>
          <w:p w:rsidR="00FC5F02" w:rsidRPr="00A47200" w:rsidRDefault="00FC5F02" w:rsidP="00A43034">
            <w:pPr>
              <w:spacing w:before="100" w:beforeAutospacing="1" w:after="100" w:afterAutospacing="1" w:line="288" w:lineRule="auto"/>
              <w:jc w:val="both"/>
              <w:rPr>
                <w:rFonts w:ascii="Times New Roman" w:hAnsi="Times New Roman" w:cs="Times New Roman"/>
                <w:b/>
                <w:sz w:val="28"/>
                <w:szCs w:val="28"/>
              </w:rPr>
            </w:pPr>
            <w:r w:rsidRPr="00A47200">
              <w:rPr>
                <w:rFonts w:ascii="Times New Roman" w:hAnsi="Times New Roman" w:cs="Times New Roman"/>
                <w:sz w:val="28"/>
                <w:szCs w:val="28"/>
              </w:rPr>
              <w:t>Rēzekne</w:t>
            </w:r>
          </w:p>
        </w:tc>
        <w:tc>
          <w:tcPr>
            <w:tcW w:w="1677" w:type="dxa"/>
          </w:tcPr>
          <w:p w:rsidR="00FC5F02" w:rsidRPr="00A47200" w:rsidRDefault="00FC5F02" w:rsidP="00A43034">
            <w:pPr>
              <w:spacing w:before="100" w:beforeAutospacing="1" w:after="100" w:afterAutospacing="1" w:line="288" w:lineRule="auto"/>
              <w:jc w:val="right"/>
              <w:rPr>
                <w:rFonts w:ascii="Times New Roman" w:hAnsi="Times New Roman" w:cs="Times New Roman"/>
                <w:sz w:val="28"/>
                <w:szCs w:val="28"/>
              </w:rPr>
            </w:pPr>
            <w:r w:rsidRPr="00A47200">
              <w:rPr>
                <w:rFonts w:ascii="Times New Roman" w:hAnsi="Times New Roman" w:cs="Times New Roman"/>
                <w:bCs/>
                <w:sz w:val="28"/>
                <w:szCs w:val="28"/>
              </w:rPr>
              <w:t>180 258</w:t>
            </w:r>
          </w:p>
        </w:tc>
        <w:tc>
          <w:tcPr>
            <w:tcW w:w="1416" w:type="dxa"/>
          </w:tcPr>
          <w:p w:rsidR="00FC5F02" w:rsidRPr="00A47200" w:rsidRDefault="00FC5F02" w:rsidP="00A43034">
            <w:pPr>
              <w:spacing w:before="100" w:beforeAutospacing="1" w:after="100" w:afterAutospacing="1" w:line="288" w:lineRule="auto"/>
              <w:jc w:val="right"/>
              <w:rPr>
                <w:rFonts w:ascii="Times New Roman" w:hAnsi="Times New Roman" w:cs="Times New Roman"/>
                <w:sz w:val="28"/>
                <w:szCs w:val="28"/>
              </w:rPr>
            </w:pPr>
            <w:r w:rsidRPr="00A47200">
              <w:rPr>
                <w:rFonts w:ascii="Times New Roman" w:hAnsi="Times New Roman" w:cs="Times New Roman"/>
                <w:bCs/>
                <w:sz w:val="28"/>
                <w:szCs w:val="28"/>
              </w:rPr>
              <w:t>3,7</w:t>
            </w:r>
          </w:p>
        </w:tc>
        <w:tc>
          <w:tcPr>
            <w:tcW w:w="1677" w:type="dxa"/>
          </w:tcPr>
          <w:p w:rsidR="00FC5F02" w:rsidRPr="00A47200" w:rsidRDefault="00FC5F02" w:rsidP="00A43034">
            <w:pPr>
              <w:spacing w:before="100" w:beforeAutospacing="1" w:after="100" w:afterAutospacing="1" w:line="288" w:lineRule="auto"/>
              <w:jc w:val="right"/>
              <w:rPr>
                <w:rFonts w:ascii="Times New Roman" w:hAnsi="Times New Roman" w:cs="Times New Roman"/>
                <w:sz w:val="28"/>
                <w:szCs w:val="28"/>
              </w:rPr>
            </w:pPr>
            <w:r w:rsidRPr="00A47200">
              <w:rPr>
                <w:rFonts w:ascii="Times New Roman" w:hAnsi="Times New Roman" w:cs="Times New Roman"/>
                <w:bCs/>
                <w:sz w:val="28"/>
                <w:szCs w:val="28"/>
              </w:rPr>
              <w:t>179 902</w:t>
            </w:r>
          </w:p>
        </w:tc>
        <w:tc>
          <w:tcPr>
            <w:tcW w:w="1416" w:type="dxa"/>
          </w:tcPr>
          <w:p w:rsidR="00FC5F02" w:rsidRPr="00A47200" w:rsidRDefault="00FC5F02" w:rsidP="00A43034">
            <w:pPr>
              <w:spacing w:before="100" w:beforeAutospacing="1" w:after="100" w:afterAutospacing="1" w:line="288" w:lineRule="auto"/>
              <w:jc w:val="right"/>
              <w:rPr>
                <w:rFonts w:ascii="Times New Roman" w:hAnsi="Times New Roman" w:cs="Times New Roman"/>
                <w:sz w:val="28"/>
                <w:szCs w:val="28"/>
              </w:rPr>
            </w:pPr>
            <w:r w:rsidRPr="00A47200">
              <w:rPr>
                <w:rFonts w:ascii="Times New Roman" w:hAnsi="Times New Roman" w:cs="Times New Roman"/>
                <w:bCs/>
                <w:sz w:val="28"/>
                <w:szCs w:val="28"/>
              </w:rPr>
              <w:t>4,6</w:t>
            </w:r>
          </w:p>
        </w:tc>
      </w:tr>
      <w:tr w:rsidR="00FC5F02" w:rsidRPr="003B34B8" w:rsidTr="0065308E">
        <w:tc>
          <w:tcPr>
            <w:tcW w:w="1364" w:type="dxa"/>
          </w:tcPr>
          <w:p w:rsidR="00FC5F02" w:rsidRPr="00A47200" w:rsidRDefault="00FC5F02" w:rsidP="00A43034">
            <w:pPr>
              <w:spacing w:before="100" w:beforeAutospacing="1" w:after="100" w:afterAutospacing="1" w:line="288" w:lineRule="auto"/>
              <w:jc w:val="both"/>
              <w:rPr>
                <w:rFonts w:ascii="Times New Roman" w:hAnsi="Times New Roman" w:cs="Times New Roman"/>
                <w:b/>
                <w:sz w:val="28"/>
                <w:szCs w:val="28"/>
              </w:rPr>
            </w:pPr>
            <w:r w:rsidRPr="00A47200">
              <w:rPr>
                <w:rFonts w:ascii="Times New Roman" w:hAnsi="Times New Roman" w:cs="Times New Roman"/>
                <w:sz w:val="28"/>
                <w:szCs w:val="28"/>
              </w:rPr>
              <w:t>Valmiera</w:t>
            </w:r>
          </w:p>
        </w:tc>
        <w:tc>
          <w:tcPr>
            <w:tcW w:w="1677" w:type="dxa"/>
          </w:tcPr>
          <w:p w:rsidR="00FC5F02" w:rsidRPr="00A47200" w:rsidRDefault="00FC5F02" w:rsidP="00A43034">
            <w:pPr>
              <w:spacing w:before="100" w:beforeAutospacing="1" w:after="100" w:afterAutospacing="1" w:line="288" w:lineRule="auto"/>
              <w:jc w:val="right"/>
              <w:rPr>
                <w:rFonts w:ascii="Times New Roman" w:hAnsi="Times New Roman" w:cs="Times New Roman"/>
                <w:sz w:val="28"/>
                <w:szCs w:val="28"/>
              </w:rPr>
            </w:pPr>
            <w:r w:rsidRPr="00A47200">
              <w:rPr>
                <w:rFonts w:ascii="Times New Roman" w:hAnsi="Times New Roman" w:cs="Times New Roman"/>
                <w:bCs/>
                <w:sz w:val="28"/>
                <w:szCs w:val="28"/>
              </w:rPr>
              <w:t>155 154</w:t>
            </w:r>
          </w:p>
        </w:tc>
        <w:tc>
          <w:tcPr>
            <w:tcW w:w="1416" w:type="dxa"/>
          </w:tcPr>
          <w:p w:rsidR="00FC5F02" w:rsidRPr="00A47200" w:rsidRDefault="00FC5F02" w:rsidP="00A43034">
            <w:pPr>
              <w:spacing w:before="100" w:beforeAutospacing="1" w:after="100" w:afterAutospacing="1" w:line="288" w:lineRule="auto"/>
              <w:jc w:val="right"/>
              <w:rPr>
                <w:rFonts w:ascii="Times New Roman" w:hAnsi="Times New Roman" w:cs="Times New Roman"/>
                <w:sz w:val="28"/>
                <w:szCs w:val="28"/>
              </w:rPr>
            </w:pPr>
            <w:r w:rsidRPr="00A47200">
              <w:rPr>
                <w:rFonts w:ascii="Times New Roman" w:hAnsi="Times New Roman" w:cs="Times New Roman"/>
                <w:bCs/>
                <w:sz w:val="28"/>
                <w:szCs w:val="28"/>
              </w:rPr>
              <w:t>1,9</w:t>
            </w:r>
          </w:p>
        </w:tc>
        <w:tc>
          <w:tcPr>
            <w:tcW w:w="1677" w:type="dxa"/>
          </w:tcPr>
          <w:p w:rsidR="00FC5F02" w:rsidRPr="00A47200" w:rsidRDefault="00FC5F02" w:rsidP="00A43034">
            <w:pPr>
              <w:spacing w:before="100" w:beforeAutospacing="1" w:after="100" w:afterAutospacing="1" w:line="288" w:lineRule="auto"/>
              <w:jc w:val="right"/>
              <w:rPr>
                <w:rFonts w:ascii="Times New Roman" w:hAnsi="Times New Roman" w:cs="Times New Roman"/>
                <w:sz w:val="28"/>
                <w:szCs w:val="28"/>
              </w:rPr>
            </w:pPr>
            <w:r w:rsidRPr="00A47200">
              <w:rPr>
                <w:rFonts w:ascii="Times New Roman" w:hAnsi="Times New Roman" w:cs="Times New Roman"/>
                <w:bCs/>
                <w:sz w:val="28"/>
                <w:szCs w:val="28"/>
              </w:rPr>
              <w:t>159 524</w:t>
            </w:r>
          </w:p>
        </w:tc>
        <w:tc>
          <w:tcPr>
            <w:tcW w:w="1416" w:type="dxa"/>
          </w:tcPr>
          <w:p w:rsidR="00FC5F02" w:rsidRPr="00A47200" w:rsidRDefault="00FC5F02" w:rsidP="00A43034">
            <w:pPr>
              <w:spacing w:before="100" w:beforeAutospacing="1" w:after="100" w:afterAutospacing="1" w:line="288" w:lineRule="auto"/>
              <w:jc w:val="right"/>
              <w:rPr>
                <w:rFonts w:ascii="Times New Roman" w:hAnsi="Times New Roman" w:cs="Times New Roman"/>
                <w:sz w:val="28"/>
                <w:szCs w:val="28"/>
              </w:rPr>
            </w:pPr>
            <w:r w:rsidRPr="00A47200">
              <w:rPr>
                <w:rFonts w:ascii="Times New Roman" w:hAnsi="Times New Roman" w:cs="Times New Roman"/>
                <w:bCs/>
                <w:sz w:val="28"/>
                <w:szCs w:val="28"/>
              </w:rPr>
              <w:t>2,5</w:t>
            </w:r>
          </w:p>
        </w:tc>
      </w:tr>
      <w:tr w:rsidR="00FC5F02" w:rsidRPr="003B34B8" w:rsidTr="0065308E">
        <w:tc>
          <w:tcPr>
            <w:tcW w:w="1364" w:type="dxa"/>
          </w:tcPr>
          <w:p w:rsidR="00FC5F02" w:rsidRPr="00A47200" w:rsidRDefault="00FC5F02" w:rsidP="00A43034">
            <w:pPr>
              <w:spacing w:before="100" w:beforeAutospacing="1" w:after="100" w:afterAutospacing="1" w:line="288" w:lineRule="auto"/>
              <w:jc w:val="both"/>
              <w:rPr>
                <w:rFonts w:ascii="Times New Roman" w:hAnsi="Times New Roman" w:cs="Times New Roman"/>
                <w:b/>
                <w:sz w:val="28"/>
                <w:szCs w:val="28"/>
              </w:rPr>
            </w:pPr>
            <w:r w:rsidRPr="00A47200">
              <w:rPr>
                <w:rFonts w:ascii="Times New Roman" w:hAnsi="Times New Roman" w:cs="Times New Roman"/>
                <w:sz w:val="28"/>
                <w:szCs w:val="28"/>
              </w:rPr>
              <w:t>Ventspils</w:t>
            </w:r>
          </w:p>
        </w:tc>
        <w:tc>
          <w:tcPr>
            <w:tcW w:w="1677" w:type="dxa"/>
          </w:tcPr>
          <w:p w:rsidR="00FC5F02" w:rsidRPr="00A47200" w:rsidRDefault="00FC5F02" w:rsidP="00A43034">
            <w:pPr>
              <w:spacing w:before="100" w:beforeAutospacing="1" w:after="100" w:afterAutospacing="1" w:line="288" w:lineRule="auto"/>
              <w:jc w:val="right"/>
              <w:rPr>
                <w:rFonts w:ascii="Times New Roman" w:hAnsi="Times New Roman" w:cs="Times New Roman"/>
                <w:sz w:val="28"/>
                <w:szCs w:val="28"/>
              </w:rPr>
            </w:pPr>
            <w:r w:rsidRPr="00A47200">
              <w:rPr>
                <w:rFonts w:ascii="Times New Roman" w:hAnsi="Times New Roman" w:cs="Times New Roman"/>
                <w:bCs/>
                <w:sz w:val="28"/>
                <w:szCs w:val="28"/>
              </w:rPr>
              <w:t>285 845</w:t>
            </w:r>
          </w:p>
        </w:tc>
        <w:tc>
          <w:tcPr>
            <w:tcW w:w="1416" w:type="dxa"/>
          </w:tcPr>
          <w:p w:rsidR="00FC5F02" w:rsidRPr="00A47200" w:rsidRDefault="00FC5F02" w:rsidP="00A43034">
            <w:pPr>
              <w:spacing w:before="100" w:beforeAutospacing="1" w:after="100" w:afterAutospacing="1" w:line="288" w:lineRule="auto"/>
              <w:jc w:val="right"/>
              <w:rPr>
                <w:rFonts w:ascii="Times New Roman" w:hAnsi="Times New Roman" w:cs="Times New Roman"/>
                <w:sz w:val="28"/>
                <w:szCs w:val="28"/>
              </w:rPr>
            </w:pPr>
            <w:r w:rsidRPr="00A47200">
              <w:rPr>
                <w:rFonts w:ascii="Times New Roman" w:hAnsi="Times New Roman" w:cs="Times New Roman"/>
                <w:bCs/>
                <w:sz w:val="28"/>
                <w:szCs w:val="28"/>
              </w:rPr>
              <w:t>2,6</w:t>
            </w:r>
          </w:p>
        </w:tc>
        <w:tc>
          <w:tcPr>
            <w:tcW w:w="1677" w:type="dxa"/>
          </w:tcPr>
          <w:p w:rsidR="00FC5F02" w:rsidRPr="00A47200" w:rsidRDefault="00FC5F02" w:rsidP="00A43034">
            <w:pPr>
              <w:spacing w:before="100" w:beforeAutospacing="1" w:after="100" w:afterAutospacing="1" w:line="288" w:lineRule="auto"/>
              <w:jc w:val="right"/>
              <w:rPr>
                <w:rFonts w:ascii="Times New Roman" w:hAnsi="Times New Roman" w:cs="Times New Roman"/>
                <w:sz w:val="28"/>
                <w:szCs w:val="28"/>
              </w:rPr>
            </w:pPr>
            <w:r w:rsidRPr="00A47200">
              <w:rPr>
                <w:rFonts w:ascii="Times New Roman" w:hAnsi="Times New Roman" w:cs="Times New Roman"/>
                <w:bCs/>
                <w:sz w:val="28"/>
                <w:szCs w:val="28"/>
              </w:rPr>
              <w:t>321 471</w:t>
            </w:r>
          </w:p>
        </w:tc>
        <w:tc>
          <w:tcPr>
            <w:tcW w:w="1416" w:type="dxa"/>
          </w:tcPr>
          <w:p w:rsidR="00FC5F02" w:rsidRPr="00A47200" w:rsidRDefault="00FC5F02" w:rsidP="00A43034">
            <w:pPr>
              <w:spacing w:before="100" w:beforeAutospacing="1" w:after="100" w:afterAutospacing="1" w:line="288" w:lineRule="auto"/>
              <w:jc w:val="right"/>
              <w:rPr>
                <w:rFonts w:ascii="Times New Roman" w:hAnsi="Times New Roman" w:cs="Times New Roman"/>
                <w:sz w:val="28"/>
                <w:szCs w:val="28"/>
              </w:rPr>
            </w:pPr>
            <w:r w:rsidRPr="00A47200">
              <w:rPr>
                <w:rFonts w:ascii="Times New Roman" w:hAnsi="Times New Roman" w:cs="Times New Roman"/>
                <w:bCs/>
                <w:sz w:val="28"/>
                <w:szCs w:val="28"/>
              </w:rPr>
              <w:t>2,2</w:t>
            </w:r>
          </w:p>
        </w:tc>
      </w:tr>
    </w:tbl>
    <w:p w:rsidR="00FC5F02" w:rsidRPr="00A47200" w:rsidRDefault="00FC5F02" w:rsidP="00A47200">
      <w:pPr>
        <w:pStyle w:val="Normallv"/>
        <w:spacing w:before="100" w:beforeAutospacing="1" w:after="100" w:afterAutospacing="1"/>
        <w:rPr>
          <w:b/>
          <w:sz w:val="28"/>
          <w:szCs w:val="28"/>
        </w:rPr>
      </w:pPr>
      <w:r w:rsidRPr="00A47200">
        <w:rPr>
          <w:sz w:val="28"/>
          <w:szCs w:val="28"/>
          <w:u w:val="single"/>
        </w:rPr>
        <w:lastRenderedPageBreak/>
        <w:t>Ticamības intervāla</w:t>
      </w:r>
      <w:r w:rsidRPr="00A47200">
        <w:rPr>
          <w:sz w:val="28"/>
          <w:szCs w:val="28"/>
        </w:rPr>
        <w:t xml:space="preserve"> interpretācija – ticamības intervāls ietver īsto populācijas parametra vērtību ar varbūtību 95%. Tas nozīmē, ka diezgan droši (ar 95% ticamību) var apgalvot, ka konstruētais ticamības intervāls ietver īsto populācijas parametra vērtību. Jāsaprot - jo plašāks ir ticamības intervāls, jo zemāka ir iegūtā rezultāta precizitāte. Zemāk, 1. attēlā, ir redzams uztvertās daļas PV eksperimentālā aprēķina ticamības intervālu grafiskais attēlojums astoņās republikas pilsētās. To aplūkojot var secināt, ka ar 95% ticamību republikas pilsētu uztvertās daļas PV ticamības intervāli konkrētā gadā nepārklājas. Līdz ar to republikas pilsētas ir iespējams saaranžēt augošā vai dilstošā secībā pēc to PV. Ja, gadījumā, divu republikas pilsētu uztvertās daļas PV ticamības intervāli pārklātos, tad šīs divas pilsētas nevarētu viennozīmīgi saaranžēt, jo nebūtu iespējams droši apgalvot, kurai no apskatītajām republikas pilsētām ir lielākā PV.</w:t>
      </w:r>
    </w:p>
    <w:p w:rsidR="00550256" w:rsidRPr="00203E94" w:rsidRDefault="00FC5F02" w:rsidP="00203E94">
      <w:pPr>
        <w:pStyle w:val="Normallv"/>
        <w:spacing w:before="100" w:beforeAutospacing="1" w:after="100" w:afterAutospacing="1"/>
        <w:rPr>
          <w:sz w:val="28"/>
          <w:szCs w:val="28"/>
        </w:rPr>
      </w:pPr>
      <w:r w:rsidRPr="00A47200">
        <w:rPr>
          <w:sz w:val="28"/>
          <w:szCs w:val="28"/>
        </w:rPr>
        <w:t xml:space="preserve">Uztvertās daļas PV ticamības intervāli dod iespēju noteikt republikas pilsētas uztvertās daļas PV izmaiņas statistisko nozīmīgumu. Ja </w:t>
      </w:r>
      <w:r w:rsidR="00550256" w:rsidRPr="00A47200">
        <w:rPr>
          <w:sz w:val="28"/>
          <w:szCs w:val="28"/>
        </w:rPr>
        <w:t>rādītāja</w:t>
      </w:r>
      <w:r w:rsidRPr="00A47200">
        <w:rPr>
          <w:sz w:val="28"/>
          <w:szCs w:val="28"/>
        </w:rPr>
        <w:t xml:space="preserve"> novērtējumu izmaiņa ir statistiski nozīmīga, tad </w:t>
      </w:r>
      <w:r w:rsidR="00447266" w:rsidRPr="00A47200">
        <w:rPr>
          <w:sz w:val="28"/>
          <w:szCs w:val="28"/>
        </w:rPr>
        <w:t xml:space="preserve">ar noteiktu ticamību </w:t>
      </w:r>
      <w:r w:rsidRPr="00A47200">
        <w:rPr>
          <w:sz w:val="28"/>
          <w:szCs w:val="28"/>
        </w:rPr>
        <w:t xml:space="preserve">var apgalvot, ka šo rādītāju īstajām vērtībām arī ir novērojama izmaiņa tādā </w:t>
      </w:r>
      <w:r w:rsidR="00447266" w:rsidRPr="00A47200">
        <w:rPr>
          <w:sz w:val="28"/>
          <w:szCs w:val="28"/>
        </w:rPr>
        <w:t>pašā</w:t>
      </w:r>
      <w:r w:rsidR="00203E94">
        <w:rPr>
          <w:sz w:val="28"/>
          <w:szCs w:val="28"/>
        </w:rPr>
        <w:t xml:space="preserve"> </w:t>
      </w:r>
      <w:r w:rsidR="00447266" w:rsidRPr="00A47200">
        <w:rPr>
          <w:sz w:val="28"/>
          <w:szCs w:val="28"/>
        </w:rPr>
        <w:t>virzienā kā novērtējumiem</w:t>
      </w:r>
      <w:r w:rsidRPr="00A47200">
        <w:rPr>
          <w:sz w:val="28"/>
          <w:szCs w:val="28"/>
        </w:rPr>
        <w:t xml:space="preserve">. Ja </w:t>
      </w:r>
      <w:r w:rsidR="00550256" w:rsidRPr="00A47200">
        <w:rPr>
          <w:sz w:val="28"/>
          <w:szCs w:val="28"/>
        </w:rPr>
        <w:t>rādītāja</w:t>
      </w:r>
      <w:r w:rsidRPr="00A47200">
        <w:rPr>
          <w:sz w:val="28"/>
          <w:szCs w:val="28"/>
        </w:rPr>
        <w:t xml:space="preserve"> novērtējumu izmaiņa nav statistiski nozīmīga, tad nevar apgalvot, ka šo rādītāju īstajām vērtībām ir notikusi izmaiņa</w:t>
      </w:r>
      <w:r w:rsidR="00447266" w:rsidRPr="00A47200">
        <w:rPr>
          <w:sz w:val="28"/>
          <w:szCs w:val="28"/>
        </w:rPr>
        <w:t>,</w:t>
      </w:r>
      <w:r w:rsidRPr="00A47200">
        <w:rPr>
          <w:sz w:val="28"/>
          <w:szCs w:val="28"/>
        </w:rPr>
        <w:t xml:space="preserve"> kā arī nevar noteikt izmaiņas virzienu.</w:t>
      </w:r>
    </w:p>
    <w:p w:rsidR="008E3F4C" w:rsidRPr="00203E94" w:rsidRDefault="00C410F4" w:rsidP="00203E94">
      <w:pPr>
        <w:rPr>
          <w:rFonts w:ascii="Times New Roman" w:hAnsi="Times New Roman" w:cs="Times New Roman"/>
          <w:sz w:val="28"/>
          <w:szCs w:val="28"/>
        </w:rPr>
      </w:pPr>
      <w:r w:rsidRPr="00203E94">
        <w:rPr>
          <w:rFonts w:ascii="Times New Roman" w:hAnsi="Times New Roman" w:cs="Times New Roman"/>
          <w:sz w:val="28"/>
          <w:szCs w:val="28"/>
        </w:rPr>
        <w:t xml:space="preserve">1.attēls. Republikas pilsētu uztvertās daļas PV eksperimentālo aprēķinu novērtējumi (tūkst. </w:t>
      </w:r>
      <w:proofErr w:type="spellStart"/>
      <w:r w:rsidRPr="00203E94">
        <w:rPr>
          <w:rFonts w:ascii="Times New Roman" w:hAnsi="Times New Roman" w:cs="Times New Roman"/>
          <w:sz w:val="28"/>
          <w:szCs w:val="28"/>
        </w:rPr>
        <w:t>euro</w:t>
      </w:r>
      <w:proofErr w:type="spellEnd"/>
      <w:r w:rsidRPr="00203E94">
        <w:rPr>
          <w:rFonts w:ascii="Times New Roman" w:hAnsi="Times New Roman" w:cs="Times New Roman"/>
          <w:sz w:val="28"/>
          <w:szCs w:val="28"/>
        </w:rPr>
        <w:t>) ar ticamīb</w:t>
      </w:r>
      <w:r w:rsidR="00F2608D" w:rsidRPr="00203E94">
        <w:rPr>
          <w:rFonts w:ascii="Times New Roman" w:hAnsi="Times New Roman" w:cs="Times New Roman"/>
          <w:sz w:val="28"/>
          <w:szCs w:val="28"/>
        </w:rPr>
        <w:t>as intervāliem 2011.–2012.gadā.</w:t>
      </w:r>
    </w:p>
    <w:p w:rsidR="00203E94" w:rsidRDefault="00203E94" w:rsidP="00A43034">
      <w:pPr>
        <w:jc w:val="center"/>
        <w:rPr>
          <w:rFonts w:ascii="Times New Roman" w:hAnsi="Times New Roman" w:cs="Times New Roman"/>
          <w:sz w:val="24"/>
          <w:szCs w:val="24"/>
        </w:rPr>
      </w:pPr>
      <w:r>
        <w:rPr>
          <w:noProof/>
          <w:lang w:eastAsia="lv-LV"/>
        </w:rPr>
        <w:drawing>
          <wp:anchor distT="0" distB="0" distL="114300" distR="114300" simplePos="0" relativeHeight="251659264" behindDoc="0" locked="0" layoutInCell="1" allowOverlap="0" wp14:anchorId="71EE946D" wp14:editId="68C11D65">
            <wp:simplePos x="0" y="0"/>
            <wp:positionH relativeFrom="page">
              <wp:posOffset>1069975</wp:posOffset>
            </wp:positionH>
            <wp:positionV relativeFrom="page">
              <wp:posOffset>2448560</wp:posOffset>
            </wp:positionV>
            <wp:extent cx="5486400" cy="3048635"/>
            <wp:effectExtent l="0" t="0" r="0" b="0"/>
            <wp:wrapTopAndBottom/>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0" cy="3048635"/>
                    </a:xfrm>
                    <a:prstGeom prst="rect">
                      <a:avLst/>
                    </a:prstGeom>
                  </pic:spPr>
                </pic:pic>
              </a:graphicData>
            </a:graphic>
            <wp14:sizeRelH relativeFrom="page">
              <wp14:pctWidth>0</wp14:pctWidth>
            </wp14:sizeRelH>
            <wp14:sizeRelV relativeFrom="page">
              <wp14:pctHeight>0</wp14:pctHeight>
            </wp14:sizeRelV>
          </wp:anchor>
        </w:drawing>
      </w:r>
    </w:p>
    <w:p w:rsidR="001559A4" w:rsidRPr="00203E94" w:rsidRDefault="001559A4" w:rsidP="00203E94">
      <w:pPr>
        <w:pStyle w:val="Titleimageandtable"/>
        <w:spacing w:before="100" w:beforeAutospacing="1" w:after="100" w:afterAutospacing="1"/>
        <w:ind w:firstLine="720"/>
        <w:jc w:val="both"/>
        <w:rPr>
          <w:b w:val="0"/>
          <w:sz w:val="28"/>
          <w:szCs w:val="28"/>
        </w:rPr>
      </w:pPr>
      <w:r w:rsidRPr="00203E94">
        <w:rPr>
          <w:b w:val="0"/>
          <w:sz w:val="28"/>
          <w:szCs w:val="28"/>
        </w:rPr>
        <w:lastRenderedPageBreak/>
        <w:t xml:space="preserve">Aplūkojot attēlu, redzams, ka četrām republikas pilsētām </w:t>
      </w:r>
      <w:r w:rsidR="00FB1382" w:rsidRPr="00203E94">
        <w:rPr>
          <w:b w:val="0"/>
          <w:sz w:val="28"/>
          <w:szCs w:val="28"/>
        </w:rPr>
        <w:t xml:space="preserve">– </w:t>
      </w:r>
      <w:r w:rsidRPr="00203E94">
        <w:rPr>
          <w:b w:val="0"/>
          <w:sz w:val="28"/>
          <w:szCs w:val="28"/>
        </w:rPr>
        <w:t xml:space="preserve">Daugavpilij, Jelgavai, Jūrmalai un Ventspilij ir novērojams statistiski nozīmīgs PV pieaugums. Pārējām četrām republikas pilsētām </w:t>
      </w:r>
      <w:r w:rsidR="00FB1382" w:rsidRPr="00203E94">
        <w:rPr>
          <w:b w:val="0"/>
          <w:sz w:val="28"/>
          <w:szCs w:val="28"/>
        </w:rPr>
        <w:t>–</w:t>
      </w:r>
      <w:r w:rsidRPr="00203E94">
        <w:rPr>
          <w:b w:val="0"/>
          <w:sz w:val="28"/>
          <w:szCs w:val="28"/>
        </w:rPr>
        <w:t xml:space="preserve"> Jēkabpilij, Liepājai, Rēzeknei un Valmierai nav novērota statistiski nozīmīga PV izmaiņa, līdz ar to nav iespējams droši apgalvot, ka šīm pilsētām ir notikusi PV vērtības izmaiņa.</w:t>
      </w:r>
    </w:p>
    <w:p w:rsidR="00F45D07" w:rsidRPr="00203E94" w:rsidRDefault="003B34B8" w:rsidP="00203E94">
      <w:pPr>
        <w:spacing w:before="100" w:beforeAutospacing="1" w:after="100" w:afterAutospacing="1" w:line="240" w:lineRule="auto"/>
        <w:jc w:val="center"/>
        <w:rPr>
          <w:rFonts w:ascii="Times New Roman" w:hAnsi="Times New Roman" w:cs="Times New Roman"/>
          <w:sz w:val="28"/>
          <w:szCs w:val="28"/>
          <w:u w:val="single"/>
        </w:rPr>
      </w:pPr>
      <w:r w:rsidRPr="00203E94">
        <w:rPr>
          <w:rFonts w:ascii="Times New Roman" w:hAnsi="Times New Roman" w:cs="Times New Roman"/>
          <w:sz w:val="28"/>
          <w:szCs w:val="28"/>
          <w:u w:val="single"/>
        </w:rPr>
        <w:t>3</w:t>
      </w:r>
      <w:r w:rsidR="00F45D07" w:rsidRPr="00203E94">
        <w:rPr>
          <w:rFonts w:ascii="Times New Roman" w:hAnsi="Times New Roman" w:cs="Times New Roman"/>
          <w:sz w:val="28"/>
          <w:szCs w:val="28"/>
          <w:u w:val="single"/>
        </w:rPr>
        <w:t>.2</w:t>
      </w:r>
      <w:r w:rsidR="003E2AB1" w:rsidRPr="00203E94">
        <w:rPr>
          <w:rFonts w:ascii="Times New Roman" w:hAnsi="Times New Roman" w:cs="Times New Roman"/>
          <w:sz w:val="28"/>
          <w:szCs w:val="28"/>
          <w:u w:val="single"/>
        </w:rPr>
        <w:t xml:space="preserve">.2. </w:t>
      </w:r>
      <w:r w:rsidR="00F45D07" w:rsidRPr="00203E94">
        <w:rPr>
          <w:rFonts w:ascii="Times New Roman" w:hAnsi="Times New Roman" w:cs="Times New Roman"/>
          <w:sz w:val="28"/>
          <w:szCs w:val="28"/>
          <w:u w:val="single"/>
        </w:rPr>
        <w:t>Pārēj</w:t>
      </w:r>
      <w:r w:rsidR="00566CFB" w:rsidRPr="00203E94">
        <w:rPr>
          <w:rFonts w:ascii="Times New Roman" w:hAnsi="Times New Roman" w:cs="Times New Roman"/>
          <w:sz w:val="28"/>
          <w:szCs w:val="28"/>
          <w:u w:val="single"/>
        </w:rPr>
        <w:t>ie</w:t>
      </w:r>
      <w:r w:rsidR="00F45D07" w:rsidRPr="00203E94">
        <w:rPr>
          <w:rFonts w:ascii="Times New Roman" w:hAnsi="Times New Roman" w:cs="Times New Roman"/>
          <w:sz w:val="28"/>
          <w:szCs w:val="28"/>
          <w:u w:val="single"/>
        </w:rPr>
        <w:t xml:space="preserve"> </w:t>
      </w:r>
      <w:r w:rsidR="00083447" w:rsidRPr="00203E94">
        <w:rPr>
          <w:rFonts w:ascii="Times New Roman" w:hAnsi="Times New Roman" w:cs="Times New Roman"/>
          <w:sz w:val="28"/>
          <w:szCs w:val="28"/>
          <w:u w:val="single"/>
        </w:rPr>
        <w:t xml:space="preserve">iespējamās </w:t>
      </w:r>
      <w:r w:rsidR="00566CFB" w:rsidRPr="00203E94">
        <w:rPr>
          <w:rFonts w:ascii="Times New Roman" w:hAnsi="Times New Roman" w:cs="Times New Roman"/>
          <w:sz w:val="28"/>
          <w:szCs w:val="28"/>
          <w:u w:val="single"/>
        </w:rPr>
        <w:t>novirzes rašanās iemesli</w:t>
      </w:r>
    </w:p>
    <w:p w:rsidR="002D69D0" w:rsidRPr="00203E94" w:rsidRDefault="002D69D0" w:rsidP="00203E94">
      <w:pPr>
        <w:spacing w:before="100" w:beforeAutospacing="1" w:after="100" w:afterAutospacing="1" w:line="240" w:lineRule="auto"/>
        <w:ind w:firstLine="720"/>
        <w:jc w:val="both"/>
        <w:rPr>
          <w:rFonts w:ascii="Times New Roman" w:hAnsi="Times New Roman" w:cs="Times New Roman"/>
          <w:sz w:val="28"/>
          <w:szCs w:val="28"/>
        </w:rPr>
      </w:pPr>
      <w:r w:rsidRPr="00203E94">
        <w:rPr>
          <w:rFonts w:ascii="Times New Roman" w:hAnsi="Times New Roman" w:cs="Times New Roman"/>
          <w:sz w:val="28"/>
          <w:szCs w:val="28"/>
        </w:rPr>
        <w:t xml:space="preserve">Eksperimentālajā aprēķinā iegūto republikas pilsētu </w:t>
      </w:r>
      <w:r w:rsidR="00DF71D3" w:rsidRPr="00203E94">
        <w:rPr>
          <w:rFonts w:ascii="Times New Roman" w:hAnsi="Times New Roman" w:cs="Times New Roman"/>
          <w:b/>
          <w:sz w:val="28"/>
          <w:szCs w:val="28"/>
        </w:rPr>
        <w:t>PV</w:t>
      </w:r>
      <w:r w:rsidR="00DF71D3" w:rsidRPr="00203E94">
        <w:rPr>
          <w:rFonts w:ascii="Times New Roman" w:hAnsi="Times New Roman" w:cs="Times New Roman"/>
          <w:sz w:val="28"/>
          <w:szCs w:val="28"/>
        </w:rPr>
        <w:t xml:space="preserve"> </w:t>
      </w:r>
      <w:r w:rsidR="00026530" w:rsidRPr="00203E94">
        <w:rPr>
          <w:rFonts w:ascii="Times New Roman" w:hAnsi="Times New Roman" w:cs="Times New Roman"/>
          <w:sz w:val="28"/>
          <w:szCs w:val="28"/>
        </w:rPr>
        <w:t>var sadalīt divās daļās: tiešā ve</w:t>
      </w:r>
      <w:r w:rsidR="000D01B0" w:rsidRPr="00203E94">
        <w:rPr>
          <w:rFonts w:ascii="Times New Roman" w:hAnsi="Times New Roman" w:cs="Times New Roman"/>
          <w:sz w:val="28"/>
          <w:szCs w:val="28"/>
        </w:rPr>
        <w:t>idā sadalītā daļa</w:t>
      </w:r>
      <w:r w:rsidR="00026530" w:rsidRPr="00203E94">
        <w:rPr>
          <w:rFonts w:ascii="Times New Roman" w:hAnsi="Times New Roman" w:cs="Times New Roman"/>
          <w:sz w:val="28"/>
          <w:szCs w:val="28"/>
        </w:rPr>
        <w:t xml:space="preserve"> un tā daļa no PV, kas tiek </w:t>
      </w:r>
      <w:r w:rsidRPr="00203E94">
        <w:rPr>
          <w:rFonts w:ascii="Times New Roman" w:hAnsi="Times New Roman" w:cs="Times New Roman"/>
          <w:sz w:val="28"/>
          <w:szCs w:val="28"/>
        </w:rPr>
        <w:t>sa</w:t>
      </w:r>
      <w:r w:rsidR="00026530" w:rsidRPr="00203E94">
        <w:rPr>
          <w:rFonts w:ascii="Times New Roman" w:hAnsi="Times New Roman" w:cs="Times New Roman"/>
          <w:sz w:val="28"/>
          <w:szCs w:val="28"/>
        </w:rPr>
        <w:t>dalīt</w:t>
      </w:r>
      <w:r w:rsidR="000D01B0" w:rsidRPr="00203E94">
        <w:rPr>
          <w:rFonts w:ascii="Times New Roman" w:hAnsi="Times New Roman" w:cs="Times New Roman"/>
          <w:sz w:val="28"/>
          <w:szCs w:val="28"/>
        </w:rPr>
        <w:t>a</w:t>
      </w:r>
      <w:r w:rsidR="00026530" w:rsidRPr="00203E94">
        <w:rPr>
          <w:rFonts w:ascii="Times New Roman" w:hAnsi="Times New Roman" w:cs="Times New Roman"/>
          <w:sz w:val="28"/>
          <w:szCs w:val="28"/>
        </w:rPr>
        <w:t xml:space="preserve"> proporcionāli</w:t>
      </w:r>
      <w:r w:rsidR="00F35CB2" w:rsidRPr="00203E94">
        <w:rPr>
          <w:rFonts w:ascii="Times New Roman" w:hAnsi="Times New Roman" w:cs="Times New Roman"/>
          <w:sz w:val="28"/>
          <w:szCs w:val="28"/>
        </w:rPr>
        <w:t xml:space="preserve"> (</w:t>
      </w:r>
      <w:r w:rsidR="00F35CB2" w:rsidRPr="00203E94">
        <w:rPr>
          <w:rFonts w:ascii="Times New Roman" w:eastAsia="Times New Roman" w:hAnsi="Times New Roman" w:cs="Times New Roman"/>
          <w:sz w:val="28"/>
          <w:szCs w:val="28"/>
          <w:bdr w:val="none" w:sz="0" w:space="0" w:color="auto" w:frame="1"/>
          <w:shd w:val="clear" w:color="auto" w:fill="FFFFFF"/>
          <w:lang w:eastAsia="lv-LV"/>
        </w:rPr>
        <w:t>pārskatos neuztvertā ekonomika, nelegālās darbības</w:t>
      </w:r>
      <w:r w:rsidRPr="00203E94">
        <w:rPr>
          <w:rFonts w:ascii="Times New Roman" w:eastAsia="Times New Roman" w:hAnsi="Times New Roman" w:cs="Times New Roman"/>
          <w:sz w:val="28"/>
          <w:szCs w:val="28"/>
          <w:bdr w:val="none" w:sz="0" w:space="0" w:color="auto" w:frame="1"/>
          <w:shd w:val="clear" w:color="auto" w:fill="FFFFFF"/>
          <w:lang w:eastAsia="lv-LV"/>
        </w:rPr>
        <w:t xml:space="preserve"> un citi tikai augstākā</w:t>
      </w:r>
      <w:r w:rsidR="00995239" w:rsidRPr="00203E94">
        <w:rPr>
          <w:rFonts w:ascii="Times New Roman" w:eastAsia="Times New Roman" w:hAnsi="Times New Roman" w:cs="Times New Roman"/>
          <w:sz w:val="28"/>
          <w:szCs w:val="28"/>
          <w:bdr w:val="none" w:sz="0" w:space="0" w:color="auto" w:frame="1"/>
          <w:shd w:val="clear" w:color="auto" w:fill="FFFFFF"/>
          <w:lang w:eastAsia="lv-LV"/>
        </w:rPr>
        <w:t xml:space="preserve"> teritoriālā</w:t>
      </w:r>
      <w:r w:rsidRPr="00203E94">
        <w:rPr>
          <w:rFonts w:ascii="Times New Roman" w:eastAsia="Times New Roman" w:hAnsi="Times New Roman" w:cs="Times New Roman"/>
          <w:sz w:val="28"/>
          <w:szCs w:val="28"/>
          <w:bdr w:val="none" w:sz="0" w:space="0" w:color="auto" w:frame="1"/>
          <w:shd w:val="clear" w:color="auto" w:fill="FFFFFF"/>
          <w:lang w:eastAsia="lv-LV"/>
        </w:rPr>
        <w:t xml:space="preserve"> līmenī </w:t>
      </w:r>
      <w:r w:rsidR="008529B4" w:rsidRPr="00203E94">
        <w:rPr>
          <w:rFonts w:ascii="Times New Roman" w:eastAsia="Times New Roman" w:hAnsi="Times New Roman" w:cs="Times New Roman"/>
          <w:sz w:val="28"/>
          <w:szCs w:val="28"/>
          <w:bdr w:val="none" w:sz="0" w:space="0" w:color="auto" w:frame="1"/>
          <w:shd w:val="clear" w:color="auto" w:fill="FFFFFF"/>
          <w:lang w:eastAsia="lv-LV"/>
        </w:rPr>
        <w:t>aprēķinātie</w:t>
      </w:r>
      <w:r w:rsidRPr="00203E94">
        <w:rPr>
          <w:rFonts w:ascii="Times New Roman" w:eastAsia="Times New Roman" w:hAnsi="Times New Roman" w:cs="Times New Roman"/>
          <w:sz w:val="28"/>
          <w:szCs w:val="28"/>
          <w:bdr w:val="none" w:sz="0" w:space="0" w:color="auto" w:frame="1"/>
          <w:shd w:val="clear" w:color="auto" w:fill="FFFFFF"/>
          <w:lang w:eastAsia="lv-LV"/>
        </w:rPr>
        <w:t xml:space="preserve"> dati</w:t>
      </w:r>
      <w:r w:rsidR="00137D9D" w:rsidRPr="00203E94">
        <w:rPr>
          <w:rFonts w:ascii="Times New Roman" w:eastAsia="Times New Roman" w:hAnsi="Times New Roman" w:cs="Times New Roman"/>
          <w:sz w:val="28"/>
          <w:szCs w:val="28"/>
          <w:bdr w:val="none" w:sz="0" w:space="0" w:color="auto" w:frame="1"/>
          <w:shd w:val="clear" w:color="auto" w:fill="FFFFFF"/>
          <w:lang w:eastAsia="lv-LV"/>
        </w:rPr>
        <w:t xml:space="preserve">, piemēram, </w:t>
      </w:r>
      <w:r w:rsidR="008529B4" w:rsidRPr="00203E94">
        <w:rPr>
          <w:rFonts w:ascii="Times New Roman" w:eastAsia="Times New Roman" w:hAnsi="Times New Roman" w:cs="Times New Roman"/>
          <w:sz w:val="28"/>
          <w:szCs w:val="28"/>
          <w:bdr w:val="none" w:sz="0" w:space="0" w:color="auto" w:frame="1"/>
          <w:shd w:val="clear" w:color="auto" w:fill="FFFFFF"/>
          <w:lang w:eastAsia="lv-LV"/>
        </w:rPr>
        <w:t>nodokļi</w:t>
      </w:r>
      <w:r w:rsidR="00F35CB2" w:rsidRPr="00203E94">
        <w:rPr>
          <w:rFonts w:ascii="Times New Roman" w:hAnsi="Times New Roman" w:cs="Times New Roman"/>
          <w:sz w:val="28"/>
          <w:szCs w:val="28"/>
        </w:rPr>
        <w:t>)</w:t>
      </w:r>
      <w:r w:rsidR="00026530" w:rsidRPr="00203E94">
        <w:rPr>
          <w:rFonts w:ascii="Times New Roman" w:hAnsi="Times New Roman" w:cs="Times New Roman"/>
          <w:sz w:val="28"/>
          <w:szCs w:val="28"/>
        </w:rPr>
        <w:t>.</w:t>
      </w:r>
      <w:r w:rsidR="000D01B0" w:rsidRPr="00203E94">
        <w:rPr>
          <w:rFonts w:ascii="Times New Roman" w:hAnsi="Times New Roman" w:cs="Times New Roman"/>
          <w:sz w:val="28"/>
          <w:szCs w:val="28"/>
        </w:rPr>
        <w:t xml:space="preserve"> </w:t>
      </w:r>
    </w:p>
    <w:p w:rsidR="00DF71D3" w:rsidRPr="00203E94" w:rsidRDefault="00BE14EF" w:rsidP="00203E94">
      <w:pPr>
        <w:spacing w:before="100" w:beforeAutospacing="1" w:after="100" w:afterAutospacing="1" w:line="240" w:lineRule="auto"/>
        <w:ind w:firstLine="720"/>
        <w:jc w:val="both"/>
        <w:rPr>
          <w:rFonts w:ascii="Times New Roman" w:hAnsi="Times New Roman" w:cs="Times New Roman"/>
          <w:sz w:val="28"/>
          <w:szCs w:val="28"/>
        </w:rPr>
      </w:pPr>
      <w:r w:rsidRPr="00203E94">
        <w:rPr>
          <w:rFonts w:ascii="Times New Roman" w:hAnsi="Times New Roman" w:cs="Times New Roman"/>
          <w:sz w:val="28"/>
          <w:szCs w:val="28"/>
        </w:rPr>
        <w:t>Reģionālās</w:t>
      </w:r>
      <w:r w:rsidR="002D69D0" w:rsidRPr="00203E94">
        <w:rPr>
          <w:rFonts w:ascii="Times New Roman" w:hAnsi="Times New Roman" w:cs="Times New Roman"/>
          <w:sz w:val="28"/>
          <w:szCs w:val="28"/>
        </w:rPr>
        <w:t xml:space="preserve">, </w:t>
      </w:r>
      <w:r w:rsidRPr="00203E94">
        <w:rPr>
          <w:rFonts w:ascii="Times New Roman" w:hAnsi="Times New Roman" w:cs="Times New Roman"/>
          <w:sz w:val="28"/>
          <w:szCs w:val="28"/>
        </w:rPr>
        <w:t>un arī republikas pilsētu eksperimentāl</w:t>
      </w:r>
      <w:r w:rsidR="00447266" w:rsidRPr="00203E94">
        <w:rPr>
          <w:rFonts w:ascii="Times New Roman" w:hAnsi="Times New Roman" w:cs="Times New Roman"/>
          <w:sz w:val="28"/>
          <w:szCs w:val="28"/>
        </w:rPr>
        <w:t>ie</w:t>
      </w:r>
      <w:r w:rsidRPr="00203E94">
        <w:rPr>
          <w:rFonts w:ascii="Times New Roman" w:hAnsi="Times New Roman" w:cs="Times New Roman"/>
          <w:sz w:val="28"/>
          <w:szCs w:val="28"/>
        </w:rPr>
        <w:t xml:space="preserve"> </w:t>
      </w:r>
      <w:r w:rsidR="000D01B0" w:rsidRPr="00203E94">
        <w:rPr>
          <w:rFonts w:ascii="Times New Roman" w:hAnsi="Times New Roman" w:cs="Times New Roman"/>
          <w:sz w:val="28"/>
          <w:szCs w:val="28"/>
        </w:rPr>
        <w:t>PV aprēķini tiek veikti detalizētā līmenī gan pa teritorijām, gan darbības veidiem. Katra</w:t>
      </w:r>
      <w:r w:rsidR="00995239" w:rsidRPr="00203E94">
        <w:rPr>
          <w:rFonts w:ascii="Times New Roman" w:hAnsi="Times New Roman" w:cs="Times New Roman"/>
          <w:sz w:val="28"/>
          <w:szCs w:val="28"/>
        </w:rPr>
        <w:t>m darbības veidam</w:t>
      </w:r>
      <w:r w:rsidR="000D01B0" w:rsidRPr="00203E94">
        <w:rPr>
          <w:rFonts w:ascii="Times New Roman" w:hAnsi="Times New Roman" w:cs="Times New Roman"/>
          <w:sz w:val="28"/>
          <w:szCs w:val="28"/>
        </w:rPr>
        <w:t xml:space="preserve"> </w:t>
      </w:r>
      <w:r w:rsidR="00995239" w:rsidRPr="00203E94">
        <w:rPr>
          <w:rFonts w:ascii="Times New Roman" w:hAnsi="Times New Roman" w:cs="Times New Roman"/>
          <w:sz w:val="28"/>
          <w:szCs w:val="28"/>
        </w:rPr>
        <w:t>(</w:t>
      </w:r>
      <w:r w:rsidR="000D01B0" w:rsidRPr="00203E94">
        <w:rPr>
          <w:rFonts w:ascii="Times New Roman" w:hAnsi="Times New Roman" w:cs="Times New Roman"/>
          <w:sz w:val="28"/>
          <w:szCs w:val="28"/>
        </w:rPr>
        <w:t>NACE 2.red. sadaļai</w:t>
      </w:r>
      <w:r w:rsidR="00995239" w:rsidRPr="00203E94">
        <w:rPr>
          <w:rFonts w:ascii="Times New Roman" w:hAnsi="Times New Roman" w:cs="Times New Roman"/>
          <w:sz w:val="28"/>
          <w:szCs w:val="28"/>
        </w:rPr>
        <w:t>) dažādās teritorijās</w:t>
      </w:r>
      <w:r w:rsidR="000D01B0" w:rsidRPr="00203E94">
        <w:rPr>
          <w:rFonts w:ascii="Times New Roman" w:hAnsi="Times New Roman" w:cs="Times New Roman"/>
          <w:sz w:val="28"/>
          <w:szCs w:val="28"/>
        </w:rPr>
        <w:t xml:space="preserve"> atšķir</w:t>
      </w:r>
      <w:r w:rsidR="00DD534D" w:rsidRPr="00203E94">
        <w:rPr>
          <w:rFonts w:ascii="Times New Roman" w:hAnsi="Times New Roman" w:cs="Times New Roman"/>
          <w:sz w:val="28"/>
          <w:szCs w:val="28"/>
        </w:rPr>
        <w:t>as</w:t>
      </w:r>
      <w:r w:rsidR="000D01B0" w:rsidRPr="00203E94">
        <w:rPr>
          <w:rFonts w:ascii="Times New Roman" w:hAnsi="Times New Roman" w:cs="Times New Roman"/>
          <w:sz w:val="28"/>
          <w:szCs w:val="28"/>
        </w:rPr>
        <w:t xml:space="preserve"> </w:t>
      </w:r>
      <w:r w:rsidR="00DD534D" w:rsidRPr="00203E94">
        <w:rPr>
          <w:rFonts w:ascii="Times New Roman" w:hAnsi="Times New Roman" w:cs="Times New Roman"/>
          <w:sz w:val="28"/>
          <w:szCs w:val="28"/>
        </w:rPr>
        <w:t xml:space="preserve">PV </w:t>
      </w:r>
      <w:r w:rsidR="000D01B0" w:rsidRPr="00203E94">
        <w:rPr>
          <w:rFonts w:ascii="Times New Roman" w:hAnsi="Times New Roman" w:cs="Times New Roman"/>
          <w:sz w:val="28"/>
          <w:szCs w:val="28"/>
        </w:rPr>
        <w:t xml:space="preserve">proporcija, ko var sadalīt tiešā veidā. Ņemot vērā, ka </w:t>
      </w:r>
      <w:r w:rsidR="004B5472" w:rsidRPr="00203E94">
        <w:rPr>
          <w:rFonts w:ascii="Times New Roman" w:hAnsi="Times New Roman" w:cs="Times New Roman"/>
          <w:sz w:val="28"/>
          <w:szCs w:val="28"/>
        </w:rPr>
        <w:t xml:space="preserve">katrā republikas pilsētā </w:t>
      </w:r>
      <w:r w:rsidR="00995239" w:rsidRPr="00203E94">
        <w:rPr>
          <w:rFonts w:ascii="Times New Roman" w:hAnsi="Times New Roman" w:cs="Times New Roman"/>
          <w:sz w:val="28"/>
          <w:szCs w:val="28"/>
        </w:rPr>
        <w:t>ir atšķirīga</w:t>
      </w:r>
      <w:r w:rsidR="004B5472" w:rsidRPr="00203E94">
        <w:rPr>
          <w:rFonts w:ascii="Times New Roman" w:hAnsi="Times New Roman" w:cs="Times New Roman"/>
          <w:sz w:val="28"/>
          <w:szCs w:val="28"/>
        </w:rPr>
        <w:t xml:space="preserve"> ekonomikas struktūra, tad, summējot visas nozares, </w:t>
      </w:r>
      <w:r w:rsidR="003A322B" w:rsidRPr="00203E94">
        <w:rPr>
          <w:rFonts w:ascii="Times New Roman" w:hAnsi="Times New Roman" w:cs="Times New Roman"/>
          <w:sz w:val="28"/>
          <w:szCs w:val="28"/>
        </w:rPr>
        <w:t>tiek</w:t>
      </w:r>
      <w:r w:rsidR="00DD534D" w:rsidRPr="00203E94">
        <w:rPr>
          <w:rFonts w:ascii="Times New Roman" w:hAnsi="Times New Roman" w:cs="Times New Roman"/>
          <w:sz w:val="28"/>
          <w:szCs w:val="28"/>
        </w:rPr>
        <w:t xml:space="preserve"> iegūts atšķirīgs novērtējums </w:t>
      </w:r>
      <w:r w:rsidR="00995239" w:rsidRPr="00203E94">
        <w:rPr>
          <w:rFonts w:ascii="Times New Roman" w:hAnsi="Times New Roman" w:cs="Times New Roman"/>
          <w:sz w:val="28"/>
          <w:szCs w:val="28"/>
        </w:rPr>
        <w:t xml:space="preserve">tai </w:t>
      </w:r>
      <w:r w:rsidR="00DD534D" w:rsidRPr="00203E94">
        <w:rPr>
          <w:rFonts w:ascii="Times New Roman" w:hAnsi="Times New Roman" w:cs="Times New Roman"/>
          <w:sz w:val="28"/>
          <w:szCs w:val="28"/>
        </w:rPr>
        <w:t xml:space="preserve">ekonomikas daļai, ko ir iespējams </w:t>
      </w:r>
      <w:r w:rsidR="00995239" w:rsidRPr="00203E94">
        <w:rPr>
          <w:rFonts w:ascii="Times New Roman" w:hAnsi="Times New Roman" w:cs="Times New Roman"/>
          <w:sz w:val="28"/>
          <w:szCs w:val="28"/>
        </w:rPr>
        <w:t xml:space="preserve">sadalīt </w:t>
      </w:r>
      <w:r w:rsidR="00DD534D" w:rsidRPr="00203E94">
        <w:rPr>
          <w:rFonts w:ascii="Times New Roman" w:hAnsi="Times New Roman" w:cs="Times New Roman"/>
          <w:sz w:val="28"/>
          <w:szCs w:val="28"/>
        </w:rPr>
        <w:t>tiešā veidā</w:t>
      </w:r>
      <w:r w:rsidR="00995239" w:rsidRPr="00203E94">
        <w:rPr>
          <w:rFonts w:ascii="Times New Roman" w:hAnsi="Times New Roman" w:cs="Times New Roman"/>
          <w:sz w:val="28"/>
          <w:szCs w:val="28"/>
        </w:rPr>
        <w:t>.</w:t>
      </w:r>
      <w:r w:rsidR="009608D2" w:rsidRPr="00203E94">
        <w:rPr>
          <w:rFonts w:ascii="Times New Roman" w:hAnsi="Times New Roman" w:cs="Times New Roman"/>
          <w:sz w:val="28"/>
          <w:szCs w:val="28"/>
        </w:rPr>
        <w:t xml:space="preserve"> Netiešā veidā proporcionālā pierēķina apjoms ļauj spriest par PV novērtējuma kvalitāti attiecīgajā republikas pilsētā</w:t>
      </w:r>
      <w:r w:rsidR="00447266" w:rsidRPr="00203E94">
        <w:rPr>
          <w:rFonts w:ascii="Times New Roman" w:hAnsi="Times New Roman" w:cs="Times New Roman"/>
          <w:sz w:val="28"/>
          <w:szCs w:val="28"/>
        </w:rPr>
        <w:t xml:space="preserve"> (skat. 3.tabulu)</w:t>
      </w:r>
      <w:r w:rsidR="009608D2" w:rsidRPr="00203E94">
        <w:rPr>
          <w:rFonts w:ascii="Times New Roman" w:hAnsi="Times New Roman" w:cs="Times New Roman"/>
          <w:sz w:val="28"/>
          <w:szCs w:val="28"/>
        </w:rPr>
        <w:t>.</w:t>
      </w:r>
    </w:p>
    <w:p w:rsidR="003F77D4" w:rsidRPr="00203E94" w:rsidRDefault="00447266" w:rsidP="00203E94">
      <w:pPr>
        <w:spacing w:before="100" w:beforeAutospacing="1" w:after="0" w:line="288" w:lineRule="auto"/>
        <w:rPr>
          <w:rFonts w:ascii="Times New Roman" w:hAnsi="Times New Roman" w:cs="Times New Roman"/>
          <w:sz w:val="28"/>
          <w:szCs w:val="28"/>
        </w:rPr>
      </w:pPr>
      <w:r w:rsidRPr="00203E94">
        <w:rPr>
          <w:rFonts w:ascii="Times New Roman" w:hAnsi="Times New Roman" w:cs="Times New Roman"/>
          <w:sz w:val="28"/>
          <w:szCs w:val="28"/>
        </w:rPr>
        <w:t>3</w:t>
      </w:r>
      <w:r w:rsidR="00414108" w:rsidRPr="00203E94">
        <w:rPr>
          <w:rFonts w:ascii="Times New Roman" w:hAnsi="Times New Roman" w:cs="Times New Roman"/>
          <w:sz w:val="28"/>
          <w:szCs w:val="28"/>
        </w:rPr>
        <w:t xml:space="preserve">.tabula. </w:t>
      </w:r>
      <w:r w:rsidR="00FC5F02" w:rsidRPr="00203E94">
        <w:rPr>
          <w:rFonts w:ascii="Times New Roman" w:hAnsi="Times New Roman" w:cs="Times New Roman"/>
          <w:sz w:val="28"/>
          <w:szCs w:val="28"/>
        </w:rPr>
        <w:t xml:space="preserve">PV un IKP tiešā veidā sadalāmā daļa un proporcionālais </w:t>
      </w:r>
      <w:proofErr w:type="spellStart"/>
      <w:r w:rsidR="00FC5F02" w:rsidRPr="00203E94">
        <w:rPr>
          <w:rFonts w:ascii="Times New Roman" w:hAnsi="Times New Roman" w:cs="Times New Roman"/>
          <w:sz w:val="28"/>
          <w:szCs w:val="28"/>
        </w:rPr>
        <w:t>pierēķins</w:t>
      </w:r>
      <w:proofErr w:type="spellEnd"/>
      <w:r w:rsidR="00FC5F02" w:rsidRPr="00203E94">
        <w:rPr>
          <w:rFonts w:ascii="Times New Roman" w:hAnsi="Times New Roman" w:cs="Times New Roman"/>
          <w:sz w:val="28"/>
          <w:szCs w:val="28"/>
        </w:rPr>
        <w:t xml:space="preserve"> 2011. </w:t>
      </w:r>
      <w:r w:rsidRPr="00203E94">
        <w:rPr>
          <w:rFonts w:ascii="Times New Roman" w:hAnsi="Times New Roman" w:cs="Times New Roman"/>
          <w:sz w:val="28"/>
          <w:szCs w:val="28"/>
        </w:rPr>
        <w:t>u</w:t>
      </w:r>
      <w:r w:rsidR="00FC5F02" w:rsidRPr="00203E94">
        <w:rPr>
          <w:rFonts w:ascii="Times New Roman" w:hAnsi="Times New Roman" w:cs="Times New Roman"/>
          <w:sz w:val="28"/>
          <w:szCs w:val="28"/>
        </w:rPr>
        <w:t>n 2012.gadā. %.</w:t>
      </w:r>
    </w:p>
    <w:tbl>
      <w:tblPr>
        <w:tblStyle w:val="TableGrid"/>
        <w:tblW w:w="8720" w:type="dxa"/>
        <w:tblInd w:w="93" w:type="dxa"/>
        <w:tblLook w:val="04A0" w:firstRow="1" w:lastRow="0" w:firstColumn="1" w:lastColumn="0" w:noHBand="0" w:noVBand="1"/>
      </w:tblPr>
      <w:tblGrid>
        <w:gridCol w:w="1492"/>
        <w:gridCol w:w="779"/>
        <w:gridCol w:w="964"/>
        <w:gridCol w:w="916"/>
        <w:gridCol w:w="927"/>
        <w:gridCol w:w="907"/>
        <w:gridCol w:w="907"/>
        <w:gridCol w:w="916"/>
        <w:gridCol w:w="912"/>
      </w:tblGrid>
      <w:tr w:rsidR="00FC5F02" w:rsidRPr="00FC5F02" w:rsidTr="0016630E">
        <w:trPr>
          <w:trHeight w:val="624"/>
        </w:trPr>
        <w:tc>
          <w:tcPr>
            <w:tcW w:w="1120" w:type="dxa"/>
            <w:hideMark/>
          </w:tcPr>
          <w:p w:rsidR="00FC5F02" w:rsidRPr="00203E94" w:rsidRDefault="00FC5F02" w:rsidP="00A43034">
            <w:pPr>
              <w:jc w:val="center"/>
              <w:rPr>
                <w:rFonts w:ascii="Times New Roman" w:eastAsia="Times New Roman" w:hAnsi="Times New Roman" w:cs="Times New Roman"/>
                <w:b/>
                <w:bCs/>
                <w:i/>
                <w:iCs/>
                <w:sz w:val="28"/>
                <w:szCs w:val="28"/>
                <w:lang w:eastAsia="lv-LV"/>
              </w:rPr>
            </w:pPr>
            <w:r w:rsidRPr="00203E94">
              <w:rPr>
                <w:rFonts w:ascii="Times New Roman" w:eastAsia="Times New Roman" w:hAnsi="Times New Roman" w:cs="Times New Roman"/>
                <w:b/>
                <w:bCs/>
                <w:i/>
                <w:iCs/>
                <w:sz w:val="28"/>
                <w:szCs w:val="28"/>
                <w:lang w:eastAsia="lv-LV"/>
              </w:rPr>
              <w:t>Teritorija</w:t>
            </w:r>
          </w:p>
        </w:tc>
        <w:tc>
          <w:tcPr>
            <w:tcW w:w="1820" w:type="dxa"/>
            <w:gridSpan w:val="2"/>
            <w:hideMark/>
          </w:tcPr>
          <w:p w:rsidR="00FC5F02" w:rsidRPr="00203E94" w:rsidRDefault="00FC5F02" w:rsidP="00A43034">
            <w:pPr>
              <w:jc w:val="center"/>
              <w:rPr>
                <w:rFonts w:ascii="Times New Roman" w:eastAsia="Times New Roman" w:hAnsi="Times New Roman" w:cs="Times New Roman"/>
                <w:b/>
                <w:bCs/>
                <w:i/>
                <w:iCs/>
                <w:sz w:val="28"/>
                <w:szCs w:val="28"/>
                <w:lang w:eastAsia="lv-LV"/>
              </w:rPr>
            </w:pPr>
            <w:r w:rsidRPr="00203E94">
              <w:rPr>
                <w:rFonts w:ascii="Times New Roman" w:eastAsia="Times New Roman" w:hAnsi="Times New Roman" w:cs="Times New Roman"/>
                <w:b/>
                <w:bCs/>
                <w:i/>
                <w:iCs/>
                <w:sz w:val="28"/>
                <w:szCs w:val="28"/>
                <w:lang w:eastAsia="lv-LV"/>
              </w:rPr>
              <w:t>PV tiešā veidā sadalāmā daļa</w:t>
            </w:r>
          </w:p>
        </w:tc>
        <w:tc>
          <w:tcPr>
            <w:tcW w:w="1940" w:type="dxa"/>
            <w:gridSpan w:val="2"/>
            <w:hideMark/>
          </w:tcPr>
          <w:p w:rsidR="00FC5F02" w:rsidRPr="00203E94" w:rsidRDefault="00FC5F02" w:rsidP="00A43034">
            <w:pPr>
              <w:jc w:val="center"/>
              <w:rPr>
                <w:rFonts w:ascii="Times New Roman" w:eastAsia="Times New Roman" w:hAnsi="Times New Roman" w:cs="Times New Roman"/>
                <w:b/>
                <w:bCs/>
                <w:i/>
                <w:iCs/>
                <w:sz w:val="28"/>
                <w:szCs w:val="28"/>
                <w:lang w:eastAsia="lv-LV"/>
              </w:rPr>
            </w:pPr>
            <w:r w:rsidRPr="00203E94">
              <w:rPr>
                <w:rFonts w:ascii="Times New Roman" w:eastAsia="Times New Roman" w:hAnsi="Times New Roman" w:cs="Times New Roman"/>
                <w:b/>
                <w:bCs/>
                <w:i/>
                <w:iCs/>
                <w:sz w:val="28"/>
                <w:szCs w:val="28"/>
                <w:lang w:eastAsia="lv-LV"/>
              </w:rPr>
              <w:t>PV tiešā veidā nesadalāmā daļa</w:t>
            </w:r>
          </w:p>
        </w:tc>
        <w:tc>
          <w:tcPr>
            <w:tcW w:w="1920" w:type="dxa"/>
            <w:gridSpan w:val="2"/>
            <w:hideMark/>
          </w:tcPr>
          <w:p w:rsidR="00FC5F02" w:rsidRPr="00203E94" w:rsidRDefault="00FC5F02" w:rsidP="00A43034">
            <w:pPr>
              <w:jc w:val="center"/>
              <w:rPr>
                <w:rFonts w:ascii="Times New Roman" w:eastAsia="Times New Roman" w:hAnsi="Times New Roman" w:cs="Times New Roman"/>
                <w:b/>
                <w:bCs/>
                <w:i/>
                <w:iCs/>
                <w:sz w:val="28"/>
                <w:szCs w:val="28"/>
                <w:lang w:eastAsia="lv-LV"/>
              </w:rPr>
            </w:pPr>
            <w:r w:rsidRPr="00203E94">
              <w:rPr>
                <w:rFonts w:ascii="Times New Roman" w:eastAsia="Times New Roman" w:hAnsi="Times New Roman" w:cs="Times New Roman"/>
                <w:b/>
                <w:bCs/>
                <w:i/>
                <w:iCs/>
                <w:sz w:val="28"/>
                <w:szCs w:val="28"/>
                <w:lang w:eastAsia="lv-LV"/>
              </w:rPr>
              <w:t>IKP tiešā veidā sadalāmā daļa</w:t>
            </w:r>
          </w:p>
        </w:tc>
        <w:tc>
          <w:tcPr>
            <w:tcW w:w="1920" w:type="dxa"/>
            <w:gridSpan w:val="2"/>
            <w:hideMark/>
          </w:tcPr>
          <w:p w:rsidR="00FC5F02" w:rsidRPr="00203E94" w:rsidRDefault="00FC5F02" w:rsidP="00A43034">
            <w:pPr>
              <w:jc w:val="center"/>
              <w:rPr>
                <w:rFonts w:ascii="Times New Roman" w:eastAsia="Times New Roman" w:hAnsi="Times New Roman" w:cs="Times New Roman"/>
                <w:b/>
                <w:bCs/>
                <w:i/>
                <w:iCs/>
                <w:sz w:val="28"/>
                <w:szCs w:val="28"/>
                <w:lang w:eastAsia="lv-LV"/>
              </w:rPr>
            </w:pPr>
            <w:r w:rsidRPr="00203E94">
              <w:rPr>
                <w:rFonts w:ascii="Times New Roman" w:eastAsia="Times New Roman" w:hAnsi="Times New Roman" w:cs="Times New Roman"/>
                <w:b/>
                <w:bCs/>
                <w:i/>
                <w:iCs/>
                <w:sz w:val="28"/>
                <w:szCs w:val="28"/>
                <w:lang w:eastAsia="lv-LV"/>
              </w:rPr>
              <w:t>IKP tiešā veidā nesadalāmā daļa</w:t>
            </w:r>
          </w:p>
        </w:tc>
      </w:tr>
      <w:tr w:rsidR="00FC5F02" w:rsidRPr="00FC5F02" w:rsidTr="0016630E">
        <w:trPr>
          <w:trHeight w:val="300"/>
        </w:trPr>
        <w:tc>
          <w:tcPr>
            <w:tcW w:w="1120" w:type="dxa"/>
            <w:hideMark/>
          </w:tcPr>
          <w:p w:rsidR="00FC5F02" w:rsidRPr="00203E94" w:rsidRDefault="00FC5F02" w:rsidP="00A43034">
            <w:pPr>
              <w:jc w:val="center"/>
              <w:rPr>
                <w:rFonts w:ascii="Times New Roman" w:eastAsia="Times New Roman" w:hAnsi="Times New Roman" w:cs="Times New Roman"/>
                <w:b/>
                <w:bCs/>
                <w:i/>
                <w:iCs/>
                <w:sz w:val="28"/>
                <w:szCs w:val="28"/>
                <w:lang w:eastAsia="lv-LV"/>
              </w:rPr>
            </w:pPr>
            <w:r w:rsidRPr="00203E94">
              <w:rPr>
                <w:rFonts w:ascii="Times New Roman" w:eastAsia="Times New Roman" w:hAnsi="Times New Roman" w:cs="Times New Roman"/>
                <w:b/>
                <w:bCs/>
                <w:i/>
                <w:iCs/>
                <w:sz w:val="28"/>
                <w:szCs w:val="28"/>
                <w:lang w:eastAsia="lv-LV"/>
              </w:rPr>
              <w:t> </w:t>
            </w:r>
          </w:p>
        </w:tc>
        <w:tc>
          <w:tcPr>
            <w:tcW w:w="780" w:type="dxa"/>
            <w:hideMark/>
          </w:tcPr>
          <w:p w:rsidR="00FC5F02" w:rsidRPr="00203E94" w:rsidRDefault="00FC5F02" w:rsidP="00A43034">
            <w:pPr>
              <w:jc w:val="center"/>
              <w:rPr>
                <w:rFonts w:ascii="Times New Roman" w:eastAsia="Times New Roman" w:hAnsi="Times New Roman" w:cs="Times New Roman"/>
                <w:b/>
                <w:bCs/>
                <w:i/>
                <w:iCs/>
                <w:sz w:val="28"/>
                <w:szCs w:val="28"/>
                <w:lang w:eastAsia="lv-LV"/>
              </w:rPr>
            </w:pPr>
            <w:r w:rsidRPr="00203E94">
              <w:rPr>
                <w:rFonts w:ascii="Times New Roman" w:eastAsia="Times New Roman" w:hAnsi="Times New Roman" w:cs="Times New Roman"/>
                <w:b/>
                <w:bCs/>
                <w:i/>
                <w:iCs/>
                <w:sz w:val="28"/>
                <w:szCs w:val="28"/>
                <w:lang w:eastAsia="lv-LV"/>
              </w:rPr>
              <w:t>2011</w:t>
            </w:r>
          </w:p>
        </w:tc>
        <w:tc>
          <w:tcPr>
            <w:tcW w:w="1040" w:type="dxa"/>
            <w:hideMark/>
          </w:tcPr>
          <w:p w:rsidR="00FC5F02" w:rsidRPr="00203E94" w:rsidRDefault="00FC5F02" w:rsidP="00A43034">
            <w:pPr>
              <w:jc w:val="center"/>
              <w:rPr>
                <w:rFonts w:ascii="Times New Roman" w:eastAsia="Times New Roman" w:hAnsi="Times New Roman" w:cs="Times New Roman"/>
                <w:b/>
                <w:bCs/>
                <w:i/>
                <w:iCs/>
                <w:sz w:val="28"/>
                <w:szCs w:val="28"/>
                <w:lang w:eastAsia="lv-LV"/>
              </w:rPr>
            </w:pPr>
            <w:r w:rsidRPr="00203E94">
              <w:rPr>
                <w:rFonts w:ascii="Times New Roman" w:eastAsia="Times New Roman" w:hAnsi="Times New Roman" w:cs="Times New Roman"/>
                <w:b/>
                <w:bCs/>
                <w:i/>
                <w:iCs/>
                <w:sz w:val="28"/>
                <w:szCs w:val="28"/>
                <w:lang w:eastAsia="lv-LV"/>
              </w:rPr>
              <w:t>2012</w:t>
            </w:r>
          </w:p>
        </w:tc>
        <w:tc>
          <w:tcPr>
            <w:tcW w:w="960" w:type="dxa"/>
            <w:hideMark/>
          </w:tcPr>
          <w:p w:rsidR="00FC5F02" w:rsidRPr="00203E94" w:rsidRDefault="00FC5F02" w:rsidP="00A43034">
            <w:pPr>
              <w:jc w:val="center"/>
              <w:rPr>
                <w:rFonts w:ascii="Times New Roman" w:eastAsia="Times New Roman" w:hAnsi="Times New Roman" w:cs="Times New Roman"/>
                <w:b/>
                <w:bCs/>
                <w:i/>
                <w:iCs/>
                <w:sz w:val="28"/>
                <w:szCs w:val="28"/>
                <w:lang w:eastAsia="lv-LV"/>
              </w:rPr>
            </w:pPr>
            <w:r w:rsidRPr="00203E94">
              <w:rPr>
                <w:rFonts w:ascii="Times New Roman" w:eastAsia="Times New Roman" w:hAnsi="Times New Roman" w:cs="Times New Roman"/>
                <w:b/>
                <w:bCs/>
                <w:i/>
                <w:iCs/>
                <w:sz w:val="28"/>
                <w:szCs w:val="28"/>
                <w:lang w:eastAsia="lv-LV"/>
              </w:rPr>
              <w:t>2011</w:t>
            </w:r>
          </w:p>
        </w:tc>
        <w:tc>
          <w:tcPr>
            <w:tcW w:w="980" w:type="dxa"/>
            <w:hideMark/>
          </w:tcPr>
          <w:p w:rsidR="00FC5F02" w:rsidRPr="00203E94" w:rsidRDefault="00FC5F02" w:rsidP="00A43034">
            <w:pPr>
              <w:jc w:val="center"/>
              <w:rPr>
                <w:rFonts w:ascii="Times New Roman" w:eastAsia="Times New Roman" w:hAnsi="Times New Roman" w:cs="Times New Roman"/>
                <w:b/>
                <w:bCs/>
                <w:i/>
                <w:iCs/>
                <w:sz w:val="28"/>
                <w:szCs w:val="28"/>
                <w:lang w:eastAsia="lv-LV"/>
              </w:rPr>
            </w:pPr>
            <w:r w:rsidRPr="00203E94">
              <w:rPr>
                <w:rFonts w:ascii="Times New Roman" w:eastAsia="Times New Roman" w:hAnsi="Times New Roman" w:cs="Times New Roman"/>
                <w:b/>
                <w:bCs/>
                <w:i/>
                <w:iCs/>
                <w:sz w:val="28"/>
                <w:szCs w:val="28"/>
                <w:lang w:eastAsia="lv-LV"/>
              </w:rPr>
              <w:t>2012</w:t>
            </w:r>
          </w:p>
        </w:tc>
        <w:tc>
          <w:tcPr>
            <w:tcW w:w="960" w:type="dxa"/>
            <w:hideMark/>
          </w:tcPr>
          <w:p w:rsidR="00FC5F02" w:rsidRPr="00203E94" w:rsidRDefault="00FC5F02" w:rsidP="00A43034">
            <w:pPr>
              <w:jc w:val="center"/>
              <w:rPr>
                <w:rFonts w:ascii="Times New Roman" w:eastAsia="Times New Roman" w:hAnsi="Times New Roman" w:cs="Times New Roman"/>
                <w:b/>
                <w:bCs/>
                <w:i/>
                <w:iCs/>
                <w:sz w:val="28"/>
                <w:szCs w:val="28"/>
                <w:lang w:eastAsia="lv-LV"/>
              </w:rPr>
            </w:pPr>
            <w:r w:rsidRPr="00203E94">
              <w:rPr>
                <w:rFonts w:ascii="Times New Roman" w:eastAsia="Times New Roman" w:hAnsi="Times New Roman" w:cs="Times New Roman"/>
                <w:b/>
                <w:bCs/>
                <w:i/>
                <w:iCs/>
                <w:sz w:val="28"/>
                <w:szCs w:val="28"/>
                <w:lang w:eastAsia="lv-LV"/>
              </w:rPr>
              <w:t>2011</w:t>
            </w:r>
          </w:p>
        </w:tc>
        <w:tc>
          <w:tcPr>
            <w:tcW w:w="960" w:type="dxa"/>
            <w:hideMark/>
          </w:tcPr>
          <w:p w:rsidR="00FC5F02" w:rsidRPr="00203E94" w:rsidRDefault="00FC5F02" w:rsidP="00A43034">
            <w:pPr>
              <w:jc w:val="center"/>
              <w:rPr>
                <w:rFonts w:ascii="Times New Roman" w:eastAsia="Times New Roman" w:hAnsi="Times New Roman" w:cs="Times New Roman"/>
                <w:b/>
                <w:bCs/>
                <w:i/>
                <w:iCs/>
                <w:sz w:val="28"/>
                <w:szCs w:val="28"/>
                <w:lang w:eastAsia="lv-LV"/>
              </w:rPr>
            </w:pPr>
            <w:r w:rsidRPr="00203E94">
              <w:rPr>
                <w:rFonts w:ascii="Times New Roman" w:eastAsia="Times New Roman" w:hAnsi="Times New Roman" w:cs="Times New Roman"/>
                <w:b/>
                <w:bCs/>
                <w:i/>
                <w:iCs/>
                <w:sz w:val="28"/>
                <w:szCs w:val="28"/>
                <w:lang w:eastAsia="lv-LV"/>
              </w:rPr>
              <w:t>2012</w:t>
            </w:r>
          </w:p>
        </w:tc>
        <w:tc>
          <w:tcPr>
            <w:tcW w:w="960" w:type="dxa"/>
            <w:hideMark/>
          </w:tcPr>
          <w:p w:rsidR="00FC5F02" w:rsidRPr="00203E94" w:rsidRDefault="00FC5F02" w:rsidP="00A43034">
            <w:pPr>
              <w:jc w:val="center"/>
              <w:rPr>
                <w:rFonts w:ascii="Times New Roman" w:eastAsia="Times New Roman" w:hAnsi="Times New Roman" w:cs="Times New Roman"/>
                <w:b/>
                <w:bCs/>
                <w:i/>
                <w:iCs/>
                <w:sz w:val="28"/>
                <w:szCs w:val="28"/>
                <w:lang w:eastAsia="lv-LV"/>
              </w:rPr>
            </w:pPr>
            <w:r w:rsidRPr="00203E94">
              <w:rPr>
                <w:rFonts w:ascii="Times New Roman" w:eastAsia="Times New Roman" w:hAnsi="Times New Roman" w:cs="Times New Roman"/>
                <w:b/>
                <w:bCs/>
                <w:i/>
                <w:iCs/>
                <w:sz w:val="28"/>
                <w:szCs w:val="28"/>
                <w:lang w:eastAsia="lv-LV"/>
              </w:rPr>
              <w:t>2011</w:t>
            </w:r>
          </w:p>
        </w:tc>
        <w:tc>
          <w:tcPr>
            <w:tcW w:w="960" w:type="dxa"/>
            <w:hideMark/>
          </w:tcPr>
          <w:p w:rsidR="00FC5F02" w:rsidRPr="00203E94" w:rsidRDefault="00FC5F02" w:rsidP="00A43034">
            <w:pPr>
              <w:jc w:val="center"/>
              <w:rPr>
                <w:rFonts w:ascii="Times New Roman" w:eastAsia="Times New Roman" w:hAnsi="Times New Roman" w:cs="Times New Roman"/>
                <w:b/>
                <w:bCs/>
                <w:i/>
                <w:iCs/>
                <w:sz w:val="28"/>
                <w:szCs w:val="28"/>
                <w:lang w:eastAsia="lv-LV"/>
              </w:rPr>
            </w:pPr>
            <w:r w:rsidRPr="00203E94">
              <w:rPr>
                <w:rFonts w:ascii="Times New Roman" w:eastAsia="Times New Roman" w:hAnsi="Times New Roman" w:cs="Times New Roman"/>
                <w:b/>
                <w:bCs/>
                <w:i/>
                <w:iCs/>
                <w:sz w:val="28"/>
                <w:szCs w:val="28"/>
                <w:lang w:eastAsia="lv-LV"/>
              </w:rPr>
              <w:t>2012</w:t>
            </w:r>
          </w:p>
        </w:tc>
      </w:tr>
      <w:tr w:rsidR="00FC5F02" w:rsidRPr="00FC5F02" w:rsidTr="0016630E">
        <w:trPr>
          <w:trHeight w:val="288"/>
        </w:trPr>
        <w:tc>
          <w:tcPr>
            <w:tcW w:w="1120" w:type="dxa"/>
            <w:hideMark/>
          </w:tcPr>
          <w:p w:rsidR="00FC5F02" w:rsidRPr="00203E94" w:rsidRDefault="00FC5F02" w:rsidP="00A43034">
            <w:pPr>
              <w:rPr>
                <w:rFonts w:ascii="Times New Roman" w:eastAsia="Times New Roman" w:hAnsi="Times New Roman" w:cs="Times New Roman"/>
                <w:b/>
                <w:bCs/>
                <w:sz w:val="28"/>
                <w:szCs w:val="28"/>
                <w:lang w:eastAsia="lv-LV"/>
              </w:rPr>
            </w:pPr>
            <w:r w:rsidRPr="00203E94">
              <w:rPr>
                <w:rFonts w:ascii="Times New Roman" w:eastAsia="Times New Roman" w:hAnsi="Times New Roman" w:cs="Times New Roman"/>
                <w:b/>
                <w:bCs/>
                <w:iCs/>
                <w:sz w:val="28"/>
                <w:szCs w:val="28"/>
                <w:lang w:eastAsia="lv-LV"/>
              </w:rPr>
              <w:t>Latvija</w:t>
            </w:r>
          </w:p>
        </w:tc>
        <w:tc>
          <w:tcPr>
            <w:tcW w:w="780" w:type="dxa"/>
            <w:hideMark/>
          </w:tcPr>
          <w:p w:rsidR="00FC5F02" w:rsidRPr="00203E94" w:rsidRDefault="00FC5F02" w:rsidP="00A43034">
            <w:pPr>
              <w:jc w:val="center"/>
              <w:rPr>
                <w:rFonts w:ascii="Times New Roman" w:eastAsia="Times New Roman" w:hAnsi="Times New Roman" w:cs="Times New Roman"/>
                <w:b/>
                <w:bCs/>
                <w:sz w:val="28"/>
                <w:szCs w:val="28"/>
                <w:lang w:eastAsia="lv-LV"/>
              </w:rPr>
            </w:pPr>
            <w:r w:rsidRPr="00203E94">
              <w:rPr>
                <w:rFonts w:ascii="Times New Roman" w:eastAsia="Times New Roman" w:hAnsi="Times New Roman" w:cs="Times New Roman"/>
                <w:b/>
                <w:bCs/>
                <w:sz w:val="28"/>
                <w:szCs w:val="28"/>
                <w:lang w:eastAsia="lv-LV"/>
              </w:rPr>
              <w:t>82,1</w:t>
            </w:r>
          </w:p>
        </w:tc>
        <w:tc>
          <w:tcPr>
            <w:tcW w:w="1040" w:type="dxa"/>
            <w:hideMark/>
          </w:tcPr>
          <w:p w:rsidR="00FC5F02" w:rsidRPr="00203E94" w:rsidRDefault="00FC5F02" w:rsidP="00A43034">
            <w:pPr>
              <w:jc w:val="center"/>
              <w:rPr>
                <w:rFonts w:ascii="Times New Roman" w:eastAsia="Times New Roman" w:hAnsi="Times New Roman" w:cs="Times New Roman"/>
                <w:b/>
                <w:bCs/>
                <w:sz w:val="28"/>
                <w:szCs w:val="28"/>
                <w:lang w:eastAsia="lv-LV"/>
              </w:rPr>
            </w:pPr>
            <w:r w:rsidRPr="00203E94">
              <w:rPr>
                <w:rFonts w:ascii="Times New Roman" w:eastAsia="Times New Roman" w:hAnsi="Times New Roman" w:cs="Times New Roman"/>
                <w:b/>
                <w:bCs/>
                <w:sz w:val="28"/>
                <w:szCs w:val="28"/>
                <w:lang w:eastAsia="lv-LV"/>
              </w:rPr>
              <w:t>84,5</w:t>
            </w:r>
          </w:p>
        </w:tc>
        <w:tc>
          <w:tcPr>
            <w:tcW w:w="960" w:type="dxa"/>
            <w:hideMark/>
          </w:tcPr>
          <w:p w:rsidR="00FC5F02" w:rsidRPr="00203E94" w:rsidRDefault="00FC5F02" w:rsidP="00A43034">
            <w:pPr>
              <w:jc w:val="center"/>
              <w:rPr>
                <w:rFonts w:ascii="Times New Roman" w:eastAsia="Times New Roman" w:hAnsi="Times New Roman" w:cs="Times New Roman"/>
                <w:b/>
                <w:bCs/>
                <w:sz w:val="28"/>
                <w:szCs w:val="28"/>
                <w:lang w:eastAsia="lv-LV"/>
              </w:rPr>
            </w:pPr>
            <w:r w:rsidRPr="00203E94">
              <w:rPr>
                <w:rFonts w:ascii="Times New Roman" w:eastAsia="Times New Roman" w:hAnsi="Times New Roman" w:cs="Times New Roman"/>
                <w:b/>
                <w:bCs/>
                <w:sz w:val="28"/>
                <w:szCs w:val="28"/>
                <w:lang w:eastAsia="lv-LV"/>
              </w:rPr>
              <w:t>17,9</w:t>
            </w:r>
          </w:p>
        </w:tc>
        <w:tc>
          <w:tcPr>
            <w:tcW w:w="980" w:type="dxa"/>
            <w:hideMark/>
          </w:tcPr>
          <w:p w:rsidR="00FC5F02" w:rsidRPr="00203E94" w:rsidRDefault="00FC5F02" w:rsidP="00A43034">
            <w:pPr>
              <w:jc w:val="center"/>
              <w:rPr>
                <w:rFonts w:ascii="Times New Roman" w:eastAsia="Times New Roman" w:hAnsi="Times New Roman" w:cs="Times New Roman"/>
                <w:b/>
                <w:bCs/>
                <w:sz w:val="28"/>
                <w:szCs w:val="28"/>
                <w:lang w:eastAsia="lv-LV"/>
              </w:rPr>
            </w:pPr>
            <w:r w:rsidRPr="00203E94">
              <w:rPr>
                <w:rFonts w:ascii="Times New Roman" w:eastAsia="Times New Roman" w:hAnsi="Times New Roman" w:cs="Times New Roman"/>
                <w:b/>
                <w:bCs/>
                <w:sz w:val="28"/>
                <w:szCs w:val="28"/>
                <w:lang w:eastAsia="lv-LV"/>
              </w:rPr>
              <w:t>15,5</w:t>
            </w:r>
          </w:p>
        </w:tc>
        <w:tc>
          <w:tcPr>
            <w:tcW w:w="960" w:type="dxa"/>
            <w:hideMark/>
          </w:tcPr>
          <w:p w:rsidR="00FC5F02" w:rsidRPr="00203E94" w:rsidRDefault="00FC5F02" w:rsidP="00A43034">
            <w:pPr>
              <w:jc w:val="center"/>
              <w:rPr>
                <w:rFonts w:ascii="Times New Roman" w:eastAsia="Times New Roman" w:hAnsi="Times New Roman" w:cs="Times New Roman"/>
                <w:b/>
                <w:bCs/>
                <w:sz w:val="28"/>
                <w:szCs w:val="28"/>
                <w:lang w:eastAsia="lv-LV"/>
              </w:rPr>
            </w:pPr>
            <w:r w:rsidRPr="00203E94">
              <w:rPr>
                <w:rFonts w:ascii="Times New Roman" w:eastAsia="Times New Roman" w:hAnsi="Times New Roman" w:cs="Times New Roman"/>
                <w:b/>
                <w:bCs/>
                <w:sz w:val="28"/>
                <w:szCs w:val="28"/>
                <w:lang w:eastAsia="lv-LV"/>
              </w:rPr>
              <w:t>72,0</w:t>
            </w:r>
          </w:p>
        </w:tc>
        <w:tc>
          <w:tcPr>
            <w:tcW w:w="960" w:type="dxa"/>
            <w:hideMark/>
          </w:tcPr>
          <w:p w:rsidR="00FC5F02" w:rsidRPr="00203E94" w:rsidRDefault="00FC5F02" w:rsidP="00A43034">
            <w:pPr>
              <w:jc w:val="center"/>
              <w:rPr>
                <w:rFonts w:ascii="Times New Roman" w:eastAsia="Times New Roman" w:hAnsi="Times New Roman" w:cs="Times New Roman"/>
                <w:b/>
                <w:bCs/>
                <w:sz w:val="28"/>
                <w:szCs w:val="28"/>
                <w:lang w:eastAsia="lv-LV"/>
              </w:rPr>
            </w:pPr>
            <w:r w:rsidRPr="00203E94">
              <w:rPr>
                <w:rFonts w:ascii="Times New Roman" w:eastAsia="Times New Roman" w:hAnsi="Times New Roman" w:cs="Times New Roman"/>
                <w:b/>
                <w:bCs/>
                <w:sz w:val="28"/>
                <w:szCs w:val="28"/>
                <w:lang w:eastAsia="lv-LV"/>
              </w:rPr>
              <w:t>73,7</w:t>
            </w:r>
          </w:p>
        </w:tc>
        <w:tc>
          <w:tcPr>
            <w:tcW w:w="960" w:type="dxa"/>
            <w:hideMark/>
          </w:tcPr>
          <w:p w:rsidR="00FC5F02" w:rsidRPr="00203E94" w:rsidRDefault="00FC5F02" w:rsidP="00A43034">
            <w:pPr>
              <w:jc w:val="center"/>
              <w:rPr>
                <w:rFonts w:ascii="Times New Roman" w:eastAsia="Times New Roman" w:hAnsi="Times New Roman" w:cs="Times New Roman"/>
                <w:b/>
                <w:bCs/>
                <w:sz w:val="28"/>
                <w:szCs w:val="28"/>
                <w:lang w:eastAsia="lv-LV"/>
              </w:rPr>
            </w:pPr>
            <w:r w:rsidRPr="00203E94">
              <w:rPr>
                <w:rFonts w:ascii="Times New Roman" w:eastAsia="Times New Roman" w:hAnsi="Times New Roman" w:cs="Times New Roman"/>
                <w:b/>
                <w:bCs/>
                <w:sz w:val="28"/>
                <w:szCs w:val="28"/>
                <w:lang w:eastAsia="lv-LV"/>
              </w:rPr>
              <w:t>28,0</w:t>
            </w:r>
          </w:p>
        </w:tc>
        <w:tc>
          <w:tcPr>
            <w:tcW w:w="960" w:type="dxa"/>
            <w:hideMark/>
          </w:tcPr>
          <w:p w:rsidR="00FC5F02" w:rsidRPr="00203E94" w:rsidRDefault="00FC5F02" w:rsidP="00A43034">
            <w:pPr>
              <w:jc w:val="center"/>
              <w:rPr>
                <w:rFonts w:ascii="Times New Roman" w:eastAsia="Times New Roman" w:hAnsi="Times New Roman" w:cs="Times New Roman"/>
                <w:b/>
                <w:bCs/>
                <w:sz w:val="28"/>
                <w:szCs w:val="28"/>
                <w:lang w:eastAsia="lv-LV"/>
              </w:rPr>
            </w:pPr>
            <w:r w:rsidRPr="00203E94">
              <w:rPr>
                <w:rFonts w:ascii="Times New Roman" w:eastAsia="Times New Roman" w:hAnsi="Times New Roman" w:cs="Times New Roman"/>
                <w:b/>
                <w:bCs/>
                <w:sz w:val="28"/>
                <w:szCs w:val="28"/>
                <w:lang w:eastAsia="lv-LV"/>
              </w:rPr>
              <w:t>26,3</w:t>
            </w:r>
          </w:p>
        </w:tc>
      </w:tr>
      <w:tr w:rsidR="00FC5F02" w:rsidRPr="00FC5F02" w:rsidTr="0016630E">
        <w:trPr>
          <w:trHeight w:val="288"/>
        </w:trPr>
        <w:tc>
          <w:tcPr>
            <w:tcW w:w="1120" w:type="dxa"/>
            <w:hideMark/>
          </w:tcPr>
          <w:p w:rsidR="00FC5F02" w:rsidRPr="00203E94" w:rsidRDefault="00FC5F02" w:rsidP="00A43034">
            <w:pPr>
              <w:rPr>
                <w:rFonts w:ascii="Times New Roman" w:eastAsia="Times New Roman" w:hAnsi="Times New Roman" w:cs="Times New Roman"/>
                <w:sz w:val="28"/>
                <w:szCs w:val="28"/>
                <w:lang w:eastAsia="lv-LV"/>
              </w:rPr>
            </w:pPr>
            <w:r w:rsidRPr="00203E94">
              <w:rPr>
                <w:rFonts w:ascii="Times New Roman" w:eastAsia="Times New Roman" w:hAnsi="Times New Roman" w:cs="Times New Roman"/>
                <w:iCs/>
                <w:sz w:val="28"/>
                <w:szCs w:val="28"/>
                <w:lang w:eastAsia="lv-LV"/>
              </w:rPr>
              <w:t>Rīga</w:t>
            </w:r>
          </w:p>
        </w:tc>
        <w:tc>
          <w:tcPr>
            <w:tcW w:w="78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75,8</w:t>
            </w:r>
          </w:p>
        </w:tc>
        <w:tc>
          <w:tcPr>
            <w:tcW w:w="104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79,2</w:t>
            </w:r>
          </w:p>
        </w:tc>
        <w:tc>
          <w:tcPr>
            <w:tcW w:w="96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24,2</w:t>
            </w:r>
          </w:p>
        </w:tc>
        <w:tc>
          <w:tcPr>
            <w:tcW w:w="98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20,8</w:t>
            </w:r>
          </w:p>
        </w:tc>
        <w:tc>
          <w:tcPr>
            <w:tcW w:w="96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66,5</w:t>
            </w:r>
          </w:p>
        </w:tc>
        <w:tc>
          <w:tcPr>
            <w:tcW w:w="96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69,1</w:t>
            </w:r>
          </w:p>
        </w:tc>
        <w:tc>
          <w:tcPr>
            <w:tcW w:w="96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33,5</w:t>
            </w:r>
          </w:p>
        </w:tc>
        <w:tc>
          <w:tcPr>
            <w:tcW w:w="96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30,9</w:t>
            </w:r>
          </w:p>
        </w:tc>
      </w:tr>
      <w:tr w:rsidR="00FC5F02" w:rsidRPr="00FC5F02" w:rsidTr="0016630E">
        <w:trPr>
          <w:trHeight w:val="288"/>
        </w:trPr>
        <w:tc>
          <w:tcPr>
            <w:tcW w:w="1120" w:type="dxa"/>
            <w:hideMark/>
          </w:tcPr>
          <w:p w:rsidR="00FC5F02" w:rsidRPr="00203E94" w:rsidRDefault="00FC5F02" w:rsidP="00A43034">
            <w:pPr>
              <w:rPr>
                <w:rFonts w:ascii="Times New Roman" w:eastAsia="Times New Roman" w:hAnsi="Times New Roman" w:cs="Times New Roman"/>
                <w:sz w:val="28"/>
                <w:szCs w:val="28"/>
                <w:lang w:eastAsia="lv-LV"/>
              </w:rPr>
            </w:pPr>
            <w:r w:rsidRPr="00203E94">
              <w:rPr>
                <w:rFonts w:ascii="Times New Roman" w:eastAsia="Times New Roman" w:hAnsi="Times New Roman" w:cs="Times New Roman"/>
                <w:iCs/>
                <w:sz w:val="28"/>
                <w:szCs w:val="28"/>
                <w:lang w:eastAsia="lv-LV"/>
              </w:rPr>
              <w:t>Daugavpils</w:t>
            </w:r>
          </w:p>
        </w:tc>
        <w:tc>
          <w:tcPr>
            <w:tcW w:w="78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78,5</w:t>
            </w:r>
          </w:p>
        </w:tc>
        <w:tc>
          <w:tcPr>
            <w:tcW w:w="104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79,2</w:t>
            </w:r>
          </w:p>
        </w:tc>
        <w:tc>
          <w:tcPr>
            <w:tcW w:w="96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21,5</w:t>
            </w:r>
          </w:p>
        </w:tc>
        <w:tc>
          <w:tcPr>
            <w:tcW w:w="98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20,8</w:t>
            </w:r>
          </w:p>
        </w:tc>
        <w:tc>
          <w:tcPr>
            <w:tcW w:w="96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68,8</w:t>
            </w:r>
          </w:p>
        </w:tc>
        <w:tc>
          <w:tcPr>
            <w:tcW w:w="96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69,1</w:t>
            </w:r>
          </w:p>
        </w:tc>
        <w:tc>
          <w:tcPr>
            <w:tcW w:w="96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31,2</w:t>
            </w:r>
          </w:p>
        </w:tc>
        <w:tc>
          <w:tcPr>
            <w:tcW w:w="96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30,9</w:t>
            </w:r>
          </w:p>
        </w:tc>
      </w:tr>
      <w:tr w:rsidR="00FC5F02" w:rsidRPr="00FC5F02" w:rsidTr="0016630E">
        <w:trPr>
          <w:trHeight w:val="288"/>
        </w:trPr>
        <w:tc>
          <w:tcPr>
            <w:tcW w:w="1120" w:type="dxa"/>
            <w:hideMark/>
          </w:tcPr>
          <w:p w:rsidR="00FC5F02" w:rsidRPr="00203E94" w:rsidRDefault="00FC5F02" w:rsidP="00A43034">
            <w:pPr>
              <w:rPr>
                <w:rFonts w:ascii="Times New Roman" w:eastAsia="Times New Roman" w:hAnsi="Times New Roman" w:cs="Times New Roman"/>
                <w:sz w:val="28"/>
                <w:szCs w:val="28"/>
                <w:lang w:eastAsia="lv-LV"/>
              </w:rPr>
            </w:pPr>
            <w:r w:rsidRPr="00203E94">
              <w:rPr>
                <w:rFonts w:ascii="Times New Roman" w:eastAsia="Times New Roman" w:hAnsi="Times New Roman" w:cs="Times New Roman"/>
                <w:iCs/>
                <w:sz w:val="28"/>
                <w:szCs w:val="28"/>
                <w:lang w:eastAsia="lv-LV"/>
              </w:rPr>
              <w:t>Jelgava</w:t>
            </w:r>
          </w:p>
        </w:tc>
        <w:tc>
          <w:tcPr>
            <w:tcW w:w="78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79,0</w:t>
            </w:r>
          </w:p>
        </w:tc>
        <w:tc>
          <w:tcPr>
            <w:tcW w:w="104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79,2</w:t>
            </w:r>
          </w:p>
        </w:tc>
        <w:tc>
          <w:tcPr>
            <w:tcW w:w="96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21,0</w:t>
            </w:r>
          </w:p>
        </w:tc>
        <w:tc>
          <w:tcPr>
            <w:tcW w:w="98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20,8</w:t>
            </w:r>
          </w:p>
        </w:tc>
        <w:tc>
          <w:tcPr>
            <w:tcW w:w="96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69,3</w:t>
            </w:r>
          </w:p>
        </w:tc>
        <w:tc>
          <w:tcPr>
            <w:tcW w:w="96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69,1</w:t>
            </w:r>
          </w:p>
        </w:tc>
        <w:tc>
          <w:tcPr>
            <w:tcW w:w="96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30,7</w:t>
            </w:r>
          </w:p>
        </w:tc>
        <w:tc>
          <w:tcPr>
            <w:tcW w:w="96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30,9</w:t>
            </w:r>
          </w:p>
        </w:tc>
      </w:tr>
      <w:tr w:rsidR="00FC5F02" w:rsidRPr="00FC5F02" w:rsidTr="0016630E">
        <w:trPr>
          <w:trHeight w:val="288"/>
        </w:trPr>
        <w:tc>
          <w:tcPr>
            <w:tcW w:w="1120" w:type="dxa"/>
            <w:hideMark/>
          </w:tcPr>
          <w:p w:rsidR="00FC5F02" w:rsidRPr="00203E94" w:rsidRDefault="00FC5F02" w:rsidP="00A43034">
            <w:pPr>
              <w:rPr>
                <w:rFonts w:ascii="Times New Roman" w:eastAsia="Times New Roman" w:hAnsi="Times New Roman" w:cs="Times New Roman"/>
                <w:sz w:val="28"/>
                <w:szCs w:val="28"/>
                <w:lang w:eastAsia="lv-LV"/>
              </w:rPr>
            </w:pPr>
            <w:r w:rsidRPr="00203E94">
              <w:rPr>
                <w:rFonts w:ascii="Times New Roman" w:eastAsia="Times New Roman" w:hAnsi="Times New Roman" w:cs="Times New Roman"/>
                <w:iCs/>
                <w:sz w:val="28"/>
                <w:szCs w:val="28"/>
                <w:lang w:eastAsia="lv-LV"/>
              </w:rPr>
              <w:t>Jēkabpils</w:t>
            </w:r>
          </w:p>
        </w:tc>
        <w:tc>
          <w:tcPr>
            <w:tcW w:w="78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77,1</w:t>
            </w:r>
          </w:p>
        </w:tc>
        <w:tc>
          <w:tcPr>
            <w:tcW w:w="104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83,6</w:t>
            </w:r>
          </w:p>
        </w:tc>
        <w:tc>
          <w:tcPr>
            <w:tcW w:w="96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22,9</w:t>
            </w:r>
          </w:p>
        </w:tc>
        <w:tc>
          <w:tcPr>
            <w:tcW w:w="98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16,4</w:t>
            </w:r>
          </w:p>
        </w:tc>
        <w:tc>
          <w:tcPr>
            <w:tcW w:w="96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67,6</w:t>
            </w:r>
          </w:p>
        </w:tc>
        <w:tc>
          <w:tcPr>
            <w:tcW w:w="96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72,9</w:t>
            </w:r>
          </w:p>
        </w:tc>
        <w:tc>
          <w:tcPr>
            <w:tcW w:w="96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32,4</w:t>
            </w:r>
          </w:p>
        </w:tc>
        <w:tc>
          <w:tcPr>
            <w:tcW w:w="96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27,1</w:t>
            </w:r>
          </w:p>
        </w:tc>
      </w:tr>
      <w:tr w:rsidR="00FC5F02" w:rsidRPr="00FC5F02" w:rsidTr="0016630E">
        <w:trPr>
          <w:trHeight w:val="288"/>
        </w:trPr>
        <w:tc>
          <w:tcPr>
            <w:tcW w:w="1120" w:type="dxa"/>
            <w:hideMark/>
          </w:tcPr>
          <w:p w:rsidR="00FC5F02" w:rsidRPr="00203E94" w:rsidRDefault="00FC5F02" w:rsidP="00A43034">
            <w:pPr>
              <w:rPr>
                <w:rFonts w:ascii="Times New Roman" w:eastAsia="Times New Roman" w:hAnsi="Times New Roman" w:cs="Times New Roman"/>
                <w:sz w:val="28"/>
                <w:szCs w:val="28"/>
                <w:lang w:eastAsia="lv-LV"/>
              </w:rPr>
            </w:pPr>
            <w:r w:rsidRPr="00203E94">
              <w:rPr>
                <w:rFonts w:ascii="Times New Roman" w:eastAsia="Times New Roman" w:hAnsi="Times New Roman" w:cs="Times New Roman"/>
                <w:iCs/>
                <w:sz w:val="28"/>
                <w:szCs w:val="28"/>
                <w:lang w:eastAsia="lv-LV"/>
              </w:rPr>
              <w:t>Jūrmala</w:t>
            </w:r>
          </w:p>
        </w:tc>
        <w:tc>
          <w:tcPr>
            <w:tcW w:w="78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77,9</w:t>
            </w:r>
          </w:p>
        </w:tc>
        <w:tc>
          <w:tcPr>
            <w:tcW w:w="104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67,7</w:t>
            </w:r>
          </w:p>
        </w:tc>
        <w:tc>
          <w:tcPr>
            <w:tcW w:w="96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22,1</w:t>
            </w:r>
          </w:p>
        </w:tc>
        <w:tc>
          <w:tcPr>
            <w:tcW w:w="98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32,3</w:t>
            </w:r>
          </w:p>
        </w:tc>
        <w:tc>
          <w:tcPr>
            <w:tcW w:w="96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68,3</w:t>
            </w:r>
          </w:p>
        </w:tc>
        <w:tc>
          <w:tcPr>
            <w:tcW w:w="96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59,1</w:t>
            </w:r>
          </w:p>
        </w:tc>
        <w:tc>
          <w:tcPr>
            <w:tcW w:w="96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31,7</w:t>
            </w:r>
          </w:p>
        </w:tc>
        <w:tc>
          <w:tcPr>
            <w:tcW w:w="96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40,9</w:t>
            </w:r>
          </w:p>
        </w:tc>
      </w:tr>
      <w:tr w:rsidR="00FC5F02" w:rsidRPr="00FC5F02" w:rsidTr="0016630E">
        <w:trPr>
          <w:trHeight w:val="288"/>
        </w:trPr>
        <w:tc>
          <w:tcPr>
            <w:tcW w:w="1120" w:type="dxa"/>
            <w:hideMark/>
          </w:tcPr>
          <w:p w:rsidR="00FC5F02" w:rsidRPr="00203E94" w:rsidRDefault="00FC5F02" w:rsidP="00A43034">
            <w:pPr>
              <w:rPr>
                <w:rFonts w:ascii="Times New Roman" w:eastAsia="Times New Roman" w:hAnsi="Times New Roman" w:cs="Times New Roman"/>
                <w:sz w:val="28"/>
                <w:szCs w:val="28"/>
                <w:lang w:eastAsia="lv-LV"/>
              </w:rPr>
            </w:pPr>
            <w:r w:rsidRPr="00203E94">
              <w:rPr>
                <w:rFonts w:ascii="Times New Roman" w:eastAsia="Times New Roman" w:hAnsi="Times New Roman" w:cs="Times New Roman"/>
                <w:iCs/>
                <w:sz w:val="28"/>
                <w:szCs w:val="28"/>
                <w:lang w:eastAsia="lv-LV"/>
              </w:rPr>
              <w:t>Liepāja</w:t>
            </w:r>
          </w:p>
        </w:tc>
        <w:tc>
          <w:tcPr>
            <w:tcW w:w="78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80,3</w:t>
            </w:r>
          </w:p>
        </w:tc>
        <w:tc>
          <w:tcPr>
            <w:tcW w:w="104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78,4</w:t>
            </w:r>
          </w:p>
        </w:tc>
        <w:tc>
          <w:tcPr>
            <w:tcW w:w="96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19,7</w:t>
            </w:r>
          </w:p>
        </w:tc>
        <w:tc>
          <w:tcPr>
            <w:tcW w:w="98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21,6</w:t>
            </w:r>
          </w:p>
        </w:tc>
        <w:tc>
          <w:tcPr>
            <w:tcW w:w="96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70,4</w:t>
            </w:r>
          </w:p>
        </w:tc>
        <w:tc>
          <w:tcPr>
            <w:tcW w:w="96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68,4</w:t>
            </w:r>
          </w:p>
        </w:tc>
        <w:tc>
          <w:tcPr>
            <w:tcW w:w="96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29,6</w:t>
            </w:r>
          </w:p>
        </w:tc>
        <w:tc>
          <w:tcPr>
            <w:tcW w:w="96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31,6</w:t>
            </w:r>
          </w:p>
        </w:tc>
      </w:tr>
      <w:tr w:rsidR="00FC5F02" w:rsidRPr="00FC5F02" w:rsidTr="0016630E">
        <w:trPr>
          <w:trHeight w:val="288"/>
        </w:trPr>
        <w:tc>
          <w:tcPr>
            <w:tcW w:w="1120" w:type="dxa"/>
            <w:hideMark/>
          </w:tcPr>
          <w:p w:rsidR="00FC5F02" w:rsidRPr="00203E94" w:rsidRDefault="00FC5F02" w:rsidP="00A43034">
            <w:pPr>
              <w:rPr>
                <w:rFonts w:ascii="Times New Roman" w:eastAsia="Times New Roman" w:hAnsi="Times New Roman" w:cs="Times New Roman"/>
                <w:sz w:val="28"/>
                <w:szCs w:val="28"/>
                <w:lang w:eastAsia="lv-LV"/>
              </w:rPr>
            </w:pPr>
            <w:r w:rsidRPr="00203E94">
              <w:rPr>
                <w:rFonts w:ascii="Times New Roman" w:eastAsia="Times New Roman" w:hAnsi="Times New Roman" w:cs="Times New Roman"/>
                <w:iCs/>
                <w:sz w:val="28"/>
                <w:szCs w:val="28"/>
                <w:lang w:eastAsia="lv-LV"/>
              </w:rPr>
              <w:t>Rēzekne</w:t>
            </w:r>
          </w:p>
        </w:tc>
        <w:tc>
          <w:tcPr>
            <w:tcW w:w="78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81,0</w:t>
            </w:r>
          </w:p>
        </w:tc>
        <w:tc>
          <w:tcPr>
            <w:tcW w:w="104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84,9</w:t>
            </w:r>
          </w:p>
        </w:tc>
        <w:tc>
          <w:tcPr>
            <w:tcW w:w="96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19,0</w:t>
            </w:r>
          </w:p>
        </w:tc>
        <w:tc>
          <w:tcPr>
            <w:tcW w:w="98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15,1</w:t>
            </w:r>
          </w:p>
        </w:tc>
        <w:tc>
          <w:tcPr>
            <w:tcW w:w="96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71,0</w:t>
            </w:r>
          </w:p>
        </w:tc>
        <w:tc>
          <w:tcPr>
            <w:tcW w:w="96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74,1</w:t>
            </w:r>
          </w:p>
        </w:tc>
        <w:tc>
          <w:tcPr>
            <w:tcW w:w="96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29,0</w:t>
            </w:r>
          </w:p>
        </w:tc>
        <w:tc>
          <w:tcPr>
            <w:tcW w:w="96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25,9</w:t>
            </w:r>
          </w:p>
        </w:tc>
      </w:tr>
      <w:tr w:rsidR="00FC5F02" w:rsidRPr="00FC5F02" w:rsidTr="0016630E">
        <w:trPr>
          <w:trHeight w:val="288"/>
        </w:trPr>
        <w:tc>
          <w:tcPr>
            <w:tcW w:w="1120" w:type="dxa"/>
            <w:hideMark/>
          </w:tcPr>
          <w:p w:rsidR="00FC5F02" w:rsidRPr="00203E94" w:rsidRDefault="00FC5F02" w:rsidP="00A43034">
            <w:pPr>
              <w:rPr>
                <w:rFonts w:ascii="Times New Roman" w:eastAsia="Times New Roman" w:hAnsi="Times New Roman" w:cs="Times New Roman"/>
                <w:sz w:val="28"/>
                <w:szCs w:val="28"/>
                <w:lang w:eastAsia="lv-LV"/>
              </w:rPr>
            </w:pPr>
            <w:r w:rsidRPr="00203E94">
              <w:rPr>
                <w:rFonts w:ascii="Times New Roman" w:eastAsia="Times New Roman" w:hAnsi="Times New Roman" w:cs="Times New Roman"/>
                <w:iCs/>
                <w:sz w:val="28"/>
                <w:szCs w:val="28"/>
                <w:lang w:eastAsia="lv-LV"/>
              </w:rPr>
              <w:t>Valmiera</w:t>
            </w:r>
          </w:p>
        </w:tc>
        <w:tc>
          <w:tcPr>
            <w:tcW w:w="78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78,3</w:t>
            </w:r>
          </w:p>
        </w:tc>
        <w:tc>
          <w:tcPr>
            <w:tcW w:w="104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77,6</w:t>
            </w:r>
          </w:p>
        </w:tc>
        <w:tc>
          <w:tcPr>
            <w:tcW w:w="96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21,7</w:t>
            </w:r>
          </w:p>
        </w:tc>
        <w:tc>
          <w:tcPr>
            <w:tcW w:w="98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22,4</w:t>
            </w:r>
          </w:p>
        </w:tc>
        <w:tc>
          <w:tcPr>
            <w:tcW w:w="96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68,7</w:t>
            </w:r>
          </w:p>
        </w:tc>
        <w:tc>
          <w:tcPr>
            <w:tcW w:w="96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67,7</w:t>
            </w:r>
          </w:p>
        </w:tc>
        <w:tc>
          <w:tcPr>
            <w:tcW w:w="96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31,3</w:t>
            </w:r>
          </w:p>
        </w:tc>
        <w:tc>
          <w:tcPr>
            <w:tcW w:w="96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32,3</w:t>
            </w:r>
          </w:p>
        </w:tc>
      </w:tr>
      <w:tr w:rsidR="00FC5F02" w:rsidRPr="00FC5F02" w:rsidTr="0016630E">
        <w:trPr>
          <w:trHeight w:val="300"/>
        </w:trPr>
        <w:tc>
          <w:tcPr>
            <w:tcW w:w="1120" w:type="dxa"/>
            <w:hideMark/>
          </w:tcPr>
          <w:p w:rsidR="00FC5F02" w:rsidRPr="00203E94" w:rsidRDefault="00FC5F02" w:rsidP="00A43034">
            <w:pPr>
              <w:rPr>
                <w:rFonts w:ascii="Times New Roman" w:eastAsia="Times New Roman" w:hAnsi="Times New Roman" w:cs="Times New Roman"/>
                <w:sz w:val="28"/>
                <w:szCs w:val="28"/>
                <w:lang w:eastAsia="lv-LV"/>
              </w:rPr>
            </w:pPr>
            <w:r w:rsidRPr="00203E94">
              <w:rPr>
                <w:rFonts w:ascii="Times New Roman" w:eastAsia="Times New Roman" w:hAnsi="Times New Roman" w:cs="Times New Roman"/>
                <w:iCs/>
                <w:sz w:val="28"/>
                <w:szCs w:val="28"/>
                <w:lang w:eastAsia="lv-LV"/>
              </w:rPr>
              <w:t>Ventspils</w:t>
            </w:r>
          </w:p>
        </w:tc>
        <w:tc>
          <w:tcPr>
            <w:tcW w:w="78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77,2</w:t>
            </w:r>
          </w:p>
        </w:tc>
        <w:tc>
          <w:tcPr>
            <w:tcW w:w="104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81,5</w:t>
            </w:r>
          </w:p>
        </w:tc>
        <w:tc>
          <w:tcPr>
            <w:tcW w:w="96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22,8</w:t>
            </w:r>
          </w:p>
        </w:tc>
        <w:tc>
          <w:tcPr>
            <w:tcW w:w="98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18,5</w:t>
            </w:r>
          </w:p>
        </w:tc>
        <w:tc>
          <w:tcPr>
            <w:tcW w:w="96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67,6</w:t>
            </w:r>
          </w:p>
        </w:tc>
        <w:tc>
          <w:tcPr>
            <w:tcW w:w="96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71,2</w:t>
            </w:r>
          </w:p>
        </w:tc>
        <w:tc>
          <w:tcPr>
            <w:tcW w:w="96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32,4</w:t>
            </w:r>
          </w:p>
        </w:tc>
        <w:tc>
          <w:tcPr>
            <w:tcW w:w="960" w:type="dxa"/>
            <w:hideMark/>
          </w:tcPr>
          <w:p w:rsidR="00FC5F02" w:rsidRPr="00203E94" w:rsidRDefault="00FC5F02" w:rsidP="00A43034">
            <w:pPr>
              <w:jc w:val="center"/>
              <w:rPr>
                <w:rFonts w:ascii="Times New Roman" w:eastAsia="Times New Roman" w:hAnsi="Times New Roman" w:cs="Times New Roman"/>
                <w:sz w:val="28"/>
                <w:szCs w:val="28"/>
                <w:lang w:eastAsia="lv-LV"/>
              </w:rPr>
            </w:pPr>
            <w:r w:rsidRPr="00203E94">
              <w:rPr>
                <w:rFonts w:ascii="Times New Roman" w:eastAsia="Times New Roman" w:hAnsi="Times New Roman" w:cs="Times New Roman"/>
                <w:sz w:val="28"/>
                <w:szCs w:val="28"/>
                <w:lang w:eastAsia="lv-LV"/>
              </w:rPr>
              <w:t>28,8</w:t>
            </w:r>
          </w:p>
        </w:tc>
      </w:tr>
    </w:tbl>
    <w:p w:rsidR="00F762F5" w:rsidRPr="00203E94" w:rsidRDefault="00F762F5" w:rsidP="00203E94">
      <w:pPr>
        <w:spacing w:before="100" w:beforeAutospacing="1" w:after="0" w:line="240" w:lineRule="auto"/>
        <w:ind w:firstLine="720"/>
        <w:jc w:val="both"/>
        <w:rPr>
          <w:rFonts w:ascii="Times New Roman" w:hAnsi="Times New Roman" w:cs="Times New Roman"/>
          <w:sz w:val="28"/>
          <w:szCs w:val="28"/>
        </w:rPr>
      </w:pPr>
      <w:r w:rsidRPr="00203E94">
        <w:rPr>
          <w:rFonts w:ascii="Times New Roman" w:hAnsi="Times New Roman" w:cs="Times New Roman"/>
          <w:sz w:val="28"/>
          <w:szCs w:val="28"/>
        </w:rPr>
        <w:t xml:space="preserve">2011.gadā mazākā PV tiešā veidā nesadalāmā daļa bija Rēzeknē (19%), </w:t>
      </w:r>
      <w:r w:rsidR="004E2B61" w:rsidRPr="00203E94">
        <w:rPr>
          <w:rFonts w:ascii="Times New Roman" w:hAnsi="Times New Roman" w:cs="Times New Roman"/>
          <w:sz w:val="28"/>
          <w:szCs w:val="28"/>
        </w:rPr>
        <w:t>bet lielākā – Rīgā (24,2%). Arī</w:t>
      </w:r>
      <w:r w:rsidRPr="00203E94">
        <w:rPr>
          <w:rFonts w:ascii="Times New Roman" w:hAnsi="Times New Roman" w:cs="Times New Roman"/>
          <w:sz w:val="28"/>
          <w:szCs w:val="28"/>
        </w:rPr>
        <w:t xml:space="preserve"> 2012.gadā mazākā PV tiešā veidā nesadalāmā </w:t>
      </w:r>
      <w:r w:rsidRPr="00203E94">
        <w:rPr>
          <w:rFonts w:ascii="Times New Roman" w:hAnsi="Times New Roman" w:cs="Times New Roman"/>
          <w:sz w:val="28"/>
          <w:szCs w:val="28"/>
        </w:rPr>
        <w:lastRenderedPageBreak/>
        <w:t xml:space="preserve">daļa bija Rēzeknē (15,1%), </w:t>
      </w:r>
      <w:r w:rsidR="00FF2F8B" w:rsidRPr="00203E94">
        <w:rPr>
          <w:rFonts w:ascii="Times New Roman" w:hAnsi="Times New Roman" w:cs="Times New Roman"/>
          <w:sz w:val="28"/>
          <w:szCs w:val="28"/>
        </w:rPr>
        <w:t>taču</w:t>
      </w:r>
      <w:r w:rsidR="00354508" w:rsidRPr="00203E94">
        <w:rPr>
          <w:rFonts w:ascii="Times New Roman" w:hAnsi="Times New Roman" w:cs="Times New Roman"/>
          <w:sz w:val="28"/>
          <w:szCs w:val="28"/>
        </w:rPr>
        <w:t xml:space="preserve"> lielākā </w:t>
      </w:r>
      <w:r w:rsidRPr="00203E94">
        <w:rPr>
          <w:rFonts w:ascii="Times New Roman" w:hAnsi="Times New Roman" w:cs="Times New Roman"/>
          <w:sz w:val="28"/>
          <w:szCs w:val="28"/>
        </w:rPr>
        <w:t xml:space="preserve">– </w:t>
      </w:r>
      <w:r w:rsidR="00FF2F8B" w:rsidRPr="00203E94">
        <w:rPr>
          <w:rFonts w:ascii="Times New Roman" w:hAnsi="Times New Roman" w:cs="Times New Roman"/>
          <w:sz w:val="28"/>
          <w:szCs w:val="28"/>
        </w:rPr>
        <w:t>Jūrmalā</w:t>
      </w:r>
      <w:r w:rsidRPr="00203E94">
        <w:rPr>
          <w:rFonts w:ascii="Times New Roman" w:hAnsi="Times New Roman" w:cs="Times New Roman"/>
          <w:sz w:val="28"/>
          <w:szCs w:val="28"/>
        </w:rPr>
        <w:t xml:space="preserve"> (</w:t>
      </w:r>
      <w:r w:rsidR="00FF2F8B" w:rsidRPr="00203E94">
        <w:rPr>
          <w:rFonts w:ascii="Times New Roman" w:hAnsi="Times New Roman" w:cs="Times New Roman"/>
          <w:sz w:val="28"/>
          <w:szCs w:val="28"/>
        </w:rPr>
        <w:t>32</w:t>
      </w:r>
      <w:r w:rsidRPr="00203E94">
        <w:rPr>
          <w:rFonts w:ascii="Times New Roman" w:hAnsi="Times New Roman" w:cs="Times New Roman"/>
          <w:sz w:val="28"/>
          <w:szCs w:val="28"/>
        </w:rPr>
        <w:t>,</w:t>
      </w:r>
      <w:r w:rsidR="00FF2F8B" w:rsidRPr="00203E94">
        <w:rPr>
          <w:rFonts w:ascii="Times New Roman" w:hAnsi="Times New Roman" w:cs="Times New Roman"/>
          <w:sz w:val="28"/>
          <w:szCs w:val="28"/>
        </w:rPr>
        <w:t>3</w:t>
      </w:r>
      <w:r w:rsidRPr="00203E94">
        <w:rPr>
          <w:rFonts w:ascii="Times New Roman" w:hAnsi="Times New Roman" w:cs="Times New Roman"/>
          <w:sz w:val="28"/>
          <w:szCs w:val="28"/>
        </w:rPr>
        <w:t>%).</w:t>
      </w:r>
      <w:r w:rsidR="00FF2F8B" w:rsidRPr="00203E94">
        <w:rPr>
          <w:rFonts w:ascii="Times New Roman" w:hAnsi="Times New Roman" w:cs="Times New Roman"/>
          <w:sz w:val="28"/>
          <w:szCs w:val="28"/>
        </w:rPr>
        <w:t xml:space="preserve"> </w:t>
      </w:r>
      <w:r w:rsidR="00C36990" w:rsidRPr="00203E94">
        <w:rPr>
          <w:rFonts w:ascii="Times New Roman" w:hAnsi="Times New Roman" w:cs="Times New Roman"/>
          <w:sz w:val="28"/>
          <w:szCs w:val="28"/>
        </w:rPr>
        <w:t>Ņemot vērā, ka tiek dalīta PV faktiskajās cenās (attiecīgā gada</w:t>
      </w:r>
      <w:r w:rsidR="00DF4326" w:rsidRPr="00203E94">
        <w:rPr>
          <w:rFonts w:ascii="Times New Roman" w:hAnsi="Times New Roman" w:cs="Times New Roman"/>
          <w:sz w:val="28"/>
          <w:szCs w:val="28"/>
        </w:rPr>
        <w:t xml:space="preserve"> cenās), tad vairāki faktori ietekmē</w:t>
      </w:r>
      <w:r w:rsidR="00C36990" w:rsidRPr="00203E94">
        <w:rPr>
          <w:rFonts w:ascii="Times New Roman" w:hAnsi="Times New Roman" w:cs="Times New Roman"/>
          <w:sz w:val="28"/>
          <w:szCs w:val="28"/>
        </w:rPr>
        <w:t xml:space="preserve"> PV tiešā veidā sadalāmās daļas īpatsvaru katrā konkrētā republikas pilsētā:</w:t>
      </w:r>
    </w:p>
    <w:p w:rsidR="00C36990" w:rsidRPr="00203E94" w:rsidRDefault="00203E94" w:rsidP="00203E94">
      <w:pPr>
        <w:spacing w:after="0" w:line="240" w:lineRule="auto"/>
        <w:ind w:left="1418" w:hanging="284"/>
        <w:rPr>
          <w:rFonts w:ascii="Times New Roman" w:hAnsi="Times New Roman" w:cs="Times New Roman"/>
          <w:sz w:val="28"/>
          <w:szCs w:val="28"/>
        </w:rPr>
      </w:pPr>
      <w:r>
        <w:rPr>
          <w:rFonts w:ascii="Times New Roman" w:hAnsi="Times New Roman" w:cs="Times New Roman"/>
          <w:sz w:val="28"/>
          <w:szCs w:val="28"/>
        </w:rPr>
        <w:t xml:space="preserve">1) </w:t>
      </w:r>
      <w:r w:rsidR="00E4302E" w:rsidRPr="00203E94">
        <w:rPr>
          <w:rFonts w:ascii="Times New Roman" w:hAnsi="Times New Roman" w:cs="Times New Roman"/>
          <w:sz w:val="28"/>
          <w:szCs w:val="28"/>
        </w:rPr>
        <w:t>N</w:t>
      </w:r>
      <w:r w:rsidR="00C36990" w:rsidRPr="00203E94">
        <w:rPr>
          <w:rFonts w:ascii="Times New Roman" w:hAnsi="Times New Roman" w:cs="Times New Roman"/>
          <w:sz w:val="28"/>
          <w:szCs w:val="28"/>
        </w:rPr>
        <w:t>ozaru struktūras izmaiņas ekonomikā valsts un/vai republikas pilsētas līmenī;</w:t>
      </w:r>
    </w:p>
    <w:p w:rsidR="00C36990" w:rsidRPr="00203E94" w:rsidRDefault="00E4302E" w:rsidP="00203E94">
      <w:pPr>
        <w:spacing w:after="0" w:line="240" w:lineRule="auto"/>
        <w:ind w:left="1418" w:hanging="284"/>
        <w:rPr>
          <w:rFonts w:ascii="Times New Roman" w:hAnsi="Times New Roman" w:cs="Times New Roman"/>
          <w:sz w:val="28"/>
          <w:szCs w:val="28"/>
        </w:rPr>
      </w:pPr>
      <w:r w:rsidRPr="00203E94">
        <w:rPr>
          <w:rFonts w:ascii="Times New Roman" w:hAnsi="Times New Roman" w:cs="Times New Roman"/>
          <w:sz w:val="28"/>
          <w:szCs w:val="28"/>
        </w:rPr>
        <w:t>2) P</w:t>
      </w:r>
      <w:r w:rsidR="00C36990" w:rsidRPr="00203E94">
        <w:rPr>
          <w:rFonts w:ascii="Times New Roman" w:hAnsi="Times New Roman" w:cs="Times New Roman"/>
          <w:sz w:val="28"/>
          <w:szCs w:val="28"/>
        </w:rPr>
        <w:t>reču un pakalpojumu cenas un/vai apjoma izmaiņas;</w:t>
      </w:r>
    </w:p>
    <w:p w:rsidR="00C36990" w:rsidRPr="00203E94" w:rsidRDefault="00203E94" w:rsidP="00203E94">
      <w:pPr>
        <w:spacing w:after="0" w:line="240" w:lineRule="auto"/>
        <w:ind w:left="1418" w:hanging="284"/>
        <w:rPr>
          <w:rFonts w:ascii="Times New Roman" w:hAnsi="Times New Roman" w:cs="Times New Roman"/>
          <w:sz w:val="28"/>
          <w:szCs w:val="28"/>
        </w:rPr>
      </w:pPr>
      <w:r>
        <w:rPr>
          <w:rFonts w:ascii="Times New Roman" w:hAnsi="Times New Roman" w:cs="Times New Roman"/>
          <w:sz w:val="28"/>
          <w:szCs w:val="28"/>
        </w:rPr>
        <w:t xml:space="preserve">3) </w:t>
      </w:r>
      <w:r w:rsidR="00E4302E" w:rsidRPr="00203E94">
        <w:rPr>
          <w:rFonts w:ascii="Times New Roman" w:hAnsi="Times New Roman" w:cs="Times New Roman"/>
          <w:sz w:val="28"/>
          <w:szCs w:val="28"/>
        </w:rPr>
        <w:t>P</w:t>
      </w:r>
      <w:r w:rsidR="00C36990" w:rsidRPr="00203E94">
        <w:rPr>
          <w:rFonts w:ascii="Times New Roman" w:hAnsi="Times New Roman" w:cs="Times New Roman"/>
          <w:sz w:val="28"/>
          <w:szCs w:val="28"/>
        </w:rPr>
        <w:t xml:space="preserve">ārskatos neuztvertās </w:t>
      </w:r>
      <w:r w:rsidR="000E1260" w:rsidRPr="00203E94">
        <w:rPr>
          <w:rFonts w:ascii="Times New Roman" w:hAnsi="Times New Roman" w:cs="Times New Roman"/>
          <w:sz w:val="28"/>
          <w:szCs w:val="28"/>
        </w:rPr>
        <w:t xml:space="preserve">un nelegālās </w:t>
      </w:r>
      <w:r w:rsidR="00C36990" w:rsidRPr="00203E94">
        <w:rPr>
          <w:rFonts w:ascii="Times New Roman" w:hAnsi="Times New Roman" w:cs="Times New Roman"/>
          <w:sz w:val="28"/>
          <w:szCs w:val="28"/>
        </w:rPr>
        <w:t>ekonomikas novērt</w:t>
      </w:r>
      <w:r w:rsidR="000E1260" w:rsidRPr="00203E94">
        <w:rPr>
          <w:rFonts w:ascii="Times New Roman" w:hAnsi="Times New Roman" w:cs="Times New Roman"/>
          <w:sz w:val="28"/>
          <w:szCs w:val="28"/>
        </w:rPr>
        <w:t>ējuma izmaiņas</w:t>
      </w:r>
      <w:r w:rsidR="00C36990" w:rsidRPr="00203E94">
        <w:rPr>
          <w:rFonts w:ascii="Times New Roman" w:hAnsi="Times New Roman" w:cs="Times New Roman"/>
          <w:sz w:val="28"/>
          <w:szCs w:val="28"/>
        </w:rPr>
        <w:t>;</w:t>
      </w:r>
    </w:p>
    <w:p w:rsidR="00C36990" w:rsidRPr="00203E94" w:rsidRDefault="00E4302E" w:rsidP="00203E94">
      <w:pPr>
        <w:spacing w:after="0" w:line="240" w:lineRule="auto"/>
        <w:ind w:left="1418" w:hanging="284"/>
        <w:rPr>
          <w:rFonts w:ascii="Times New Roman" w:hAnsi="Times New Roman" w:cs="Times New Roman"/>
          <w:sz w:val="28"/>
          <w:szCs w:val="28"/>
        </w:rPr>
      </w:pPr>
      <w:r w:rsidRPr="00203E94">
        <w:rPr>
          <w:rFonts w:ascii="Times New Roman" w:hAnsi="Times New Roman" w:cs="Times New Roman"/>
          <w:sz w:val="28"/>
          <w:szCs w:val="28"/>
        </w:rPr>
        <w:t>4) I</w:t>
      </w:r>
      <w:r w:rsidR="00C36990" w:rsidRPr="00203E94">
        <w:rPr>
          <w:rFonts w:ascii="Times New Roman" w:hAnsi="Times New Roman" w:cs="Times New Roman"/>
          <w:sz w:val="28"/>
          <w:szCs w:val="28"/>
        </w:rPr>
        <w:t>zmaiņas uzņēmuma struktūrvienību atrašanās vietā</w:t>
      </w:r>
      <w:r w:rsidR="00406E52" w:rsidRPr="00203E94">
        <w:rPr>
          <w:rFonts w:ascii="Times New Roman" w:hAnsi="Times New Roman" w:cs="Times New Roman"/>
          <w:sz w:val="28"/>
          <w:szCs w:val="28"/>
        </w:rPr>
        <w:t>.</w:t>
      </w:r>
    </w:p>
    <w:p w:rsidR="002B7D4E" w:rsidRPr="00203E94" w:rsidRDefault="00EB4F95" w:rsidP="00203E94">
      <w:pPr>
        <w:spacing w:before="100" w:beforeAutospacing="1" w:after="100" w:afterAutospacing="1" w:line="240" w:lineRule="auto"/>
        <w:ind w:firstLine="720"/>
        <w:jc w:val="both"/>
        <w:rPr>
          <w:rFonts w:ascii="Times New Roman" w:hAnsi="Times New Roman" w:cs="Times New Roman"/>
          <w:sz w:val="28"/>
          <w:szCs w:val="28"/>
        </w:rPr>
      </w:pPr>
      <w:r w:rsidRPr="00203E94">
        <w:rPr>
          <w:rFonts w:ascii="Times New Roman" w:hAnsi="Times New Roman" w:cs="Times New Roman"/>
          <w:sz w:val="28"/>
          <w:szCs w:val="28"/>
        </w:rPr>
        <w:t xml:space="preserve">Ņemot vērā, ka trūkst detalizētas informācijas produktu nodokļu (mīnus subsīdijas) sadalīšanai pa nozarēm un teritorijām, tad produktu nodokļi (mīnus subsīdijas) tiek sadalīti proporcionāli ekonomikas apjomam (kopējai PV) konkrētajā teritorijā. </w:t>
      </w:r>
      <w:r w:rsidR="00447266" w:rsidRPr="00203E94">
        <w:rPr>
          <w:rFonts w:ascii="Times New Roman" w:hAnsi="Times New Roman" w:cs="Times New Roman"/>
          <w:sz w:val="28"/>
          <w:szCs w:val="28"/>
        </w:rPr>
        <w:t>3</w:t>
      </w:r>
      <w:r w:rsidR="00BB0DCD" w:rsidRPr="00203E94">
        <w:rPr>
          <w:rFonts w:ascii="Times New Roman" w:hAnsi="Times New Roman" w:cs="Times New Roman"/>
          <w:sz w:val="28"/>
          <w:szCs w:val="28"/>
        </w:rPr>
        <w:t>.</w:t>
      </w:r>
      <w:r w:rsidRPr="00203E94">
        <w:rPr>
          <w:rFonts w:ascii="Times New Roman" w:hAnsi="Times New Roman" w:cs="Times New Roman"/>
          <w:sz w:val="28"/>
          <w:szCs w:val="28"/>
        </w:rPr>
        <w:t xml:space="preserve">tabulā ir </w:t>
      </w:r>
      <w:r w:rsidR="00EC4BC7" w:rsidRPr="00203E94">
        <w:rPr>
          <w:rFonts w:ascii="Times New Roman" w:hAnsi="Times New Roman" w:cs="Times New Roman"/>
          <w:sz w:val="28"/>
          <w:szCs w:val="28"/>
        </w:rPr>
        <w:t>redzams</w:t>
      </w:r>
      <w:r w:rsidRPr="00203E94">
        <w:rPr>
          <w:rFonts w:ascii="Times New Roman" w:hAnsi="Times New Roman" w:cs="Times New Roman"/>
          <w:sz w:val="28"/>
          <w:szCs w:val="28"/>
        </w:rPr>
        <w:t>, kāda daļa no IKP nosacīti ir sadalīta tiešā veidā.</w:t>
      </w:r>
    </w:p>
    <w:p w:rsidR="00686DD7" w:rsidRPr="00203E94" w:rsidRDefault="00686DD7" w:rsidP="00203E94">
      <w:pPr>
        <w:spacing w:before="100" w:beforeAutospacing="1" w:after="100" w:afterAutospacing="1" w:line="240" w:lineRule="auto"/>
        <w:ind w:firstLine="720"/>
        <w:jc w:val="both"/>
        <w:rPr>
          <w:rFonts w:ascii="Times New Roman" w:hAnsi="Times New Roman" w:cs="Times New Roman"/>
          <w:sz w:val="28"/>
          <w:szCs w:val="28"/>
        </w:rPr>
      </w:pPr>
      <w:r w:rsidRPr="00203E94">
        <w:rPr>
          <w:rFonts w:ascii="Times New Roman" w:hAnsi="Times New Roman" w:cs="Times New Roman"/>
          <w:sz w:val="28"/>
          <w:szCs w:val="28"/>
        </w:rPr>
        <w:t xml:space="preserve">2011.gadā mazākā </w:t>
      </w:r>
      <w:r w:rsidRPr="00203E94">
        <w:rPr>
          <w:rFonts w:ascii="Times New Roman" w:hAnsi="Times New Roman" w:cs="Times New Roman"/>
          <w:b/>
          <w:sz w:val="28"/>
          <w:szCs w:val="28"/>
        </w:rPr>
        <w:t>IKP</w:t>
      </w:r>
      <w:r w:rsidRPr="00203E94">
        <w:rPr>
          <w:rFonts w:ascii="Times New Roman" w:hAnsi="Times New Roman" w:cs="Times New Roman"/>
          <w:sz w:val="28"/>
          <w:szCs w:val="28"/>
        </w:rPr>
        <w:t xml:space="preserve"> tiešā veidā nesadalāmā daļa bija Rēzeknē (29%), bet lielākā – Rīgā (33,5%). Arī</w:t>
      </w:r>
      <w:proofErr w:type="gramStart"/>
      <w:r w:rsidRPr="00203E94">
        <w:rPr>
          <w:rFonts w:ascii="Times New Roman" w:hAnsi="Times New Roman" w:cs="Times New Roman"/>
          <w:sz w:val="28"/>
          <w:szCs w:val="28"/>
        </w:rPr>
        <w:t xml:space="preserve">  </w:t>
      </w:r>
      <w:proofErr w:type="gramEnd"/>
      <w:r w:rsidRPr="00203E94">
        <w:rPr>
          <w:rFonts w:ascii="Times New Roman" w:hAnsi="Times New Roman" w:cs="Times New Roman"/>
          <w:sz w:val="28"/>
          <w:szCs w:val="28"/>
        </w:rPr>
        <w:t xml:space="preserve">2012.gadā mazākā IKP tiešā veidā nesadalāmā daļa bija Rēzeknē (25,9%), taču lielākā – Jūrmalā (40,9%). </w:t>
      </w:r>
    </w:p>
    <w:p w:rsidR="00565B74" w:rsidRPr="00B04185" w:rsidRDefault="0017504B" w:rsidP="00B04185">
      <w:pPr>
        <w:pStyle w:val="ListParagraph"/>
        <w:spacing w:before="100" w:beforeAutospacing="1" w:after="100" w:afterAutospacing="1" w:line="240" w:lineRule="auto"/>
        <w:ind w:left="0" w:firstLine="720"/>
        <w:contextualSpacing w:val="0"/>
        <w:jc w:val="both"/>
        <w:rPr>
          <w:rFonts w:ascii="Times New Roman" w:hAnsi="Times New Roman" w:cs="Times New Roman"/>
          <w:sz w:val="28"/>
          <w:szCs w:val="28"/>
        </w:rPr>
      </w:pPr>
      <w:r w:rsidRPr="00203E94">
        <w:rPr>
          <w:rFonts w:ascii="Times New Roman" w:hAnsi="Times New Roman" w:cs="Times New Roman"/>
          <w:sz w:val="28"/>
          <w:szCs w:val="28"/>
        </w:rPr>
        <w:t>Eksperimentālā aprēķina rezultāti rāda, ka iegūtie republikas pilsētu IKP un PV novērtējumi ir izmantojami, lai analizētu šo pilsētu attīstības tendences.</w:t>
      </w:r>
      <w:r w:rsidR="001C2B41" w:rsidRPr="00203E94">
        <w:rPr>
          <w:rFonts w:ascii="Times New Roman" w:hAnsi="Times New Roman" w:cs="Times New Roman"/>
          <w:sz w:val="28"/>
          <w:szCs w:val="28"/>
        </w:rPr>
        <w:t xml:space="preserve"> Tomēr, ja šī aprēķina rezultātus paredzēts izmantot citiem mērķiem, tad ir jāveic izmantotās metodoloģijas detalizētāks izvērtējums, lai novērtētu izdarīto pieņēmumu iespējamo ietekmi uz rezultātu un iespējamo novirzi </w:t>
      </w:r>
      <w:r w:rsidR="00686DD7" w:rsidRPr="00203E94">
        <w:rPr>
          <w:rFonts w:ascii="Times New Roman" w:hAnsi="Times New Roman" w:cs="Times New Roman"/>
          <w:sz w:val="28"/>
          <w:szCs w:val="28"/>
        </w:rPr>
        <w:t>no reālās situācijas</w:t>
      </w:r>
      <w:r w:rsidR="001C2B41" w:rsidRPr="00203E94">
        <w:rPr>
          <w:rFonts w:ascii="Times New Roman" w:hAnsi="Times New Roman" w:cs="Times New Roman"/>
          <w:sz w:val="28"/>
          <w:szCs w:val="28"/>
        </w:rPr>
        <w:t xml:space="preserve"> attiecīgajā teritorijā.</w:t>
      </w:r>
      <w:r w:rsidR="00324AC0" w:rsidRPr="00203E94">
        <w:rPr>
          <w:rFonts w:ascii="Times New Roman" w:hAnsi="Times New Roman" w:cs="Times New Roman"/>
          <w:sz w:val="28"/>
          <w:szCs w:val="28"/>
        </w:rPr>
        <w:t xml:space="preserve"> 4.sadaļā ir sniegta informācija par turpmākajām darbībām un to izmaksām, lai varētu iegūt kvalitatīvus republikas pilsētu PV un IKP datus.</w:t>
      </w:r>
    </w:p>
    <w:p w:rsidR="00742D15" w:rsidRPr="00203E94" w:rsidRDefault="00742D15" w:rsidP="00203E94">
      <w:pPr>
        <w:pStyle w:val="ListParagraph"/>
        <w:spacing w:before="100" w:beforeAutospacing="1" w:after="100" w:afterAutospacing="1" w:line="240" w:lineRule="auto"/>
        <w:ind w:left="0" w:firstLine="720"/>
        <w:contextualSpacing w:val="0"/>
        <w:jc w:val="center"/>
        <w:rPr>
          <w:rFonts w:ascii="Times New Roman" w:hAnsi="Times New Roman" w:cs="Times New Roman"/>
          <w:sz w:val="28"/>
          <w:szCs w:val="28"/>
          <w:u w:val="single"/>
        </w:rPr>
      </w:pPr>
      <w:r w:rsidRPr="00203E94">
        <w:rPr>
          <w:rFonts w:ascii="Times New Roman" w:hAnsi="Times New Roman" w:cs="Times New Roman"/>
          <w:sz w:val="28"/>
          <w:szCs w:val="28"/>
          <w:u w:val="single"/>
        </w:rPr>
        <w:t>3.2.3. Brīdinājums par datu lietošanu</w:t>
      </w:r>
    </w:p>
    <w:p w:rsidR="00565B74" w:rsidRPr="00203E94" w:rsidRDefault="00742D15" w:rsidP="00203E94">
      <w:pPr>
        <w:pStyle w:val="ListParagraph"/>
        <w:spacing w:before="100" w:beforeAutospacing="1" w:after="100" w:afterAutospacing="1" w:line="240" w:lineRule="auto"/>
        <w:ind w:left="0" w:firstLine="720"/>
        <w:contextualSpacing w:val="0"/>
        <w:jc w:val="both"/>
        <w:rPr>
          <w:rFonts w:ascii="Times New Roman" w:hAnsi="Times New Roman" w:cs="Times New Roman"/>
          <w:sz w:val="28"/>
          <w:szCs w:val="28"/>
        </w:rPr>
      </w:pPr>
      <w:r w:rsidRPr="00203E94">
        <w:rPr>
          <w:rFonts w:ascii="Times New Roman" w:hAnsi="Times New Roman" w:cs="Times New Roman"/>
          <w:sz w:val="28"/>
          <w:szCs w:val="28"/>
        </w:rPr>
        <w:t xml:space="preserve">Jāatceras, ka </w:t>
      </w:r>
      <w:r w:rsidR="00516132" w:rsidRPr="00203E94">
        <w:rPr>
          <w:rFonts w:ascii="Times New Roman" w:hAnsi="Times New Roman" w:cs="Times New Roman"/>
          <w:sz w:val="28"/>
          <w:szCs w:val="28"/>
        </w:rPr>
        <w:t xml:space="preserve">IKP un PV novērtējums attiecīgajā teritorijā tiek aprēķināts no ražošanas aspekta, t.i. pēc nodarbināto skaita konkrētajā VDVV. Šis </w:t>
      </w:r>
      <w:r w:rsidR="00AA5AEE" w:rsidRPr="00203E94">
        <w:rPr>
          <w:rFonts w:ascii="Times New Roman" w:hAnsi="Times New Roman" w:cs="Times New Roman"/>
          <w:sz w:val="28"/>
          <w:szCs w:val="28"/>
        </w:rPr>
        <w:t>aspekts jāņem vērā, ja tiek rēķināti atvasināts rādītājs –</w:t>
      </w:r>
      <w:r w:rsidRPr="00203E94">
        <w:rPr>
          <w:rFonts w:ascii="Times New Roman" w:hAnsi="Times New Roman" w:cs="Times New Roman"/>
          <w:sz w:val="28"/>
          <w:szCs w:val="28"/>
        </w:rPr>
        <w:t xml:space="preserve"> </w:t>
      </w:r>
      <w:r w:rsidR="00AA5AEE" w:rsidRPr="00203E94">
        <w:rPr>
          <w:rFonts w:ascii="Times New Roman" w:hAnsi="Times New Roman" w:cs="Times New Roman"/>
          <w:sz w:val="28"/>
          <w:szCs w:val="28"/>
        </w:rPr>
        <w:t>IKP uz vienu iedzīvotāju. Ņemot vērā, ka daļa no nodarbinātajiem dzīvo vienā administratīvajā teritorijā, bet regulāri brauc strādāt uz citu, piemēram, republikas pilsētu,</w:t>
      </w:r>
      <w:r w:rsidRPr="00203E94">
        <w:rPr>
          <w:rFonts w:ascii="Times New Roman" w:hAnsi="Times New Roman" w:cs="Times New Roman"/>
          <w:sz w:val="28"/>
          <w:szCs w:val="28"/>
        </w:rPr>
        <w:t xml:space="preserve"> tad</w:t>
      </w:r>
      <w:r w:rsidR="00AA5AEE" w:rsidRPr="00203E94">
        <w:rPr>
          <w:rFonts w:ascii="Times New Roman" w:hAnsi="Times New Roman" w:cs="Times New Roman"/>
          <w:sz w:val="28"/>
          <w:szCs w:val="28"/>
        </w:rPr>
        <w:t xml:space="preserve"> </w:t>
      </w:r>
      <w:r w:rsidR="00686DD7" w:rsidRPr="00203E94">
        <w:rPr>
          <w:rFonts w:ascii="Times New Roman" w:hAnsi="Times New Roman" w:cs="Times New Roman"/>
          <w:sz w:val="28"/>
          <w:szCs w:val="28"/>
        </w:rPr>
        <w:t>tas</w:t>
      </w:r>
      <w:r w:rsidR="00FF2E44">
        <w:rPr>
          <w:rFonts w:ascii="Times New Roman" w:hAnsi="Times New Roman" w:cs="Times New Roman"/>
          <w:sz w:val="28"/>
          <w:szCs w:val="28"/>
        </w:rPr>
        <w:t xml:space="preserve"> var būtiski ietekmēt IKP un PV</w:t>
      </w:r>
      <w:r w:rsidR="00AA5AEE" w:rsidRPr="00203E94">
        <w:rPr>
          <w:rFonts w:ascii="Times New Roman" w:hAnsi="Times New Roman" w:cs="Times New Roman"/>
          <w:sz w:val="28"/>
          <w:szCs w:val="28"/>
        </w:rPr>
        <w:t xml:space="preserve"> novērtējumu uz vienu attiecīgas teritorijas iedzīvotāju.</w:t>
      </w:r>
    </w:p>
    <w:p w:rsidR="00FC1667" w:rsidRPr="00B04185" w:rsidRDefault="00FC1667" w:rsidP="00B04185">
      <w:pPr>
        <w:pStyle w:val="ListParagraph"/>
        <w:numPr>
          <w:ilvl w:val="0"/>
          <w:numId w:val="1"/>
        </w:numPr>
        <w:spacing w:before="100" w:beforeAutospacing="1" w:after="100" w:afterAutospacing="1" w:line="240" w:lineRule="auto"/>
        <w:ind w:left="357" w:firstLine="0"/>
        <w:contextualSpacing w:val="0"/>
        <w:jc w:val="center"/>
        <w:rPr>
          <w:rFonts w:ascii="Times New Roman" w:hAnsi="Times New Roman" w:cs="Times New Roman"/>
          <w:b/>
          <w:sz w:val="28"/>
          <w:szCs w:val="28"/>
        </w:rPr>
      </w:pPr>
      <w:r w:rsidRPr="00B04185">
        <w:rPr>
          <w:rFonts w:ascii="Times New Roman" w:hAnsi="Times New Roman" w:cs="Times New Roman"/>
          <w:b/>
          <w:sz w:val="28"/>
          <w:szCs w:val="28"/>
        </w:rPr>
        <w:t>Priekšlikumi turpmākai darbībai</w:t>
      </w:r>
    </w:p>
    <w:p w:rsidR="007B72F7" w:rsidRPr="00487F2F" w:rsidRDefault="007B72F7" w:rsidP="00487F2F">
      <w:pPr>
        <w:pStyle w:val="ListParagraph"/>
        <w:spacing w:before="100" w:beforeAutospacing="1" w:after="100" w:afterAutospacing="1" w:line="240" w:lineRule="auto"/>
        <w:ind w:left="0" w:firstLine="720"/>
        <w:contextualSpacing w:val="0"/>
        <w:jc w:val="both"/>
        <w:rPr>
          <w:rFonts w:ascii="Times New Roman" w:hAnsi="Times New Roman" w:cs="Times New Roman"/>
          <w:sz w:val="28"/>
          <w:szCs w:val="28"/>
        </w:rPr>
      </w:pPr>
      <w:r w:rsidRPr="00487F2F">
        <w:rPr>
          <w:rFonts w:ascii="Times New Roman" w:hAnsi="Times New Roman" w:cs="Times New Roman"/>
          <w:sz w:val="28"/>
          <w:szCs w:val="28"/>
        </w:rPr>
        <w:t>Ievērojot ziņojumā analizētās republikas pilsētu PV un IKP aprēķiniem nepieciešamo izejas datu ieguves iespējas un nosacījumus, darba grupa ir sagatavojusi šādus priekšlikumus turpmākai rīcībai:</w:t>
      </w:r>
    </w:p>
    <w:p w:rsidR="007B72F7" w:rsidRPr="00487F2F" w:rsidRDefault="007B72F7" w:rsidP="00487F2F">
      <w:pPr>
        <w:pStyle w:val="ListParagraph"/>
        <w:numPr>
          <w:ilvl w:val="0"/>
          <w:numId w:val="11"/>
        </w:numPr>
        <w:spacing w:before="100" w:beforeAutospacing="1" w:after="100" w:afterAutospacing="1" w:line="240" w:lineRule="auto"/>
        <w:ind w:left="782" w:hanging="357"/>
        <w:jc w:val="both"/>
        <w:rPr>
          <w:rFonts w:ascii="Times New Roman" w:hAnsi="Times New Roman" w:cs="Times New Roman"/>
          <w:sz w:val="28"/>
          <w:szCs w:val="28"/>
        </w:rPr>
      </w:pPr>
      <w:r w:rsidRPr="00487F2F">
        <w:rPr>
          <w:rFonts w:ascii="Times New Roman" w:hAnsi="Times New Roman" w:cs="Times New Roman"/>
          <w:sz w:val="28"/>
          <w:szCs w:val="28"/>
        </w:rPr>
        <w:lastRenderedPageBreak/>
        <w:t xml:space="preserve">Ziņojuma trešajā sadaļā analizētais eksperimentālais aprēķins var tikt veikts pašlaik pieejamās bāzes statistikas ietvaros, nepalielinot respondentu – datu sniedzēju slodzi un administratīvās izmaksas, bet šāda aprēķina rezultāti var būt svārstīgi un lietojami teritorijas attīstības līmeņa iezīmēšanai tikai kopsavilkuma veidā. Aprēķina rezultātus var izmantot republikas pilsētu </w:t>
      </w:r>
      <w:proofErr w:type="spellStart"/>
      <w:r w:rsidRPr="00487F2F">
        <w:rPr>
          <w:rFonts w:ascii="Times New Roman" w:hAnsi="Times New Roman" w:cs="Times New Roman"/>
          <w:sz w:val="28"/>
          <w:szCs w:val="28"/>
        </w:rPr>
        <w:t>ranžēšanai</w:t>
      </w:r>
      <w:proofErr w:type="spellEnd"/>
      <w:r w:rsidRPr="00487F2F">
        <w:rPr>
          <w:rFonts w:ascii="Times New Roman" w:hAnsi="Times New Roman" w:cs="Times New Roman"/>
          <w:sz w:val="28"/>
          <w:szCs w:val="28"/>
        </w:rPr>
        <w:t xml:space="preserve"> pēc PV un IKP vērtībām katra konkrēta gada ietvaros, bet ekonomikas tendenču novērtēšanai tos var lietot visai nosacīti. Nepastāv iespējas izdalīt kādu no attiecīgās teritorijas plānošanas iestādes interesējošiem darbības veidiem, kā arī nevar pilnīgi droši apgalvot, ka tendences, kas parādītos no eksperimentālā aprēķina rezultātiem sastādītā laikrindā atbilstu reālajai situācijai ekonomikā.</w:t>
      </w:r>
    </w:p>
    <w:p w:rsidR="00656BD8" w:rsidRDefault="00656BD8" w:rsidP="00656BD8">
      <w:pPr>
        <w:pStyle w:val="ListParagraph"/>
        <w:spacing w:before="100" w:beforeAutospacing="1" w:after="100" w:afterAutospacing="1" w:line="240" w:lineRule="auto"/>
        <w:ind w:left="0" w:firstLine="720"/>
        <w:contextualSpacing w:val="0"/>
        <w:jc w:val="both"/>
        <w:rPr>
          <w:rFonts w:ascii="Times New Roman" w:hAnsi="Times New Roman" w:cs="Times New Roman"/>
          <w:sz w:val="28"/>
          <w:szCs w:val="28"/>
        </w:rPr>
      </w:pPr>
    </w:p>
    <w:p w:rsidR="007B72F7" w:rsidRPr="00656BD8" w:rsidRDefault="007B72F7" w:rsidP="00656BD8">
      <w:pPr>
        <w:pStyle w:val="ListParagraph"/>
        <w:spacing w:before="100" w:beforeAutospacing="1" w:after="100" w:afterAutospacing="1" w:line="240" w:lineRule="auto"/>
        <w:ind w:left="0" w:firstLine="720"/>
        <w:contextualSpacing w:val="0"/>
        <w:jc w:val="both"/>
        <w:rPr>
          <w:rFonts w:ascii="Times New Roman" w:hAnsi="Times New Roman" w:cs="Times New Roman"/>
          <w:sz w:val="28"/>
          <w:szCs w:val="28"/>
        </w:rPr>
      </w:pPr>
      <w:r w:rsidRPr="00656BD8">
        <w:rPr>
          <w:rFonts w:ascii="Times New Roman" w:hAnsi="Times New Roman" w:cs="Times New Roman"/>
          <w:sz w:val="28"/>
          <w:szCs w:val="28"/>
        </w:rPr>
        <w:t xml:space="preserve">Darba grupa uzskata, ka ar eksperimentālo aprēķinu iegūstamie rezultāti, kaut arī ierobežotā apjomā, ir izmantojami republikas pilsētu ekonomikas attīstības līmeņa novērtēšanā. Pārvaldei tiek ieteikts turpināt aprēķinus un iekļaut tos nākamā gada Valsts statistiskās informācijas programmā. </w:t>
      </w:r>
    </w:p>
    <w:p w:rsidR="007B72F7" w:rsidRPr="00656BD8" w:rsidRDefault="007B72F7" w:rsidP="00656BD8">
      <w:pPr>
        <w:pStyle w:val="ListParagraph"/>
        <w:numPr>
          <w:ilvl w:val="0"/>
          <w:numId w:val="11"/>
        </w:numPr>
        <w:spacing w:before="100" w:beforeAutospacing="1" w:after="100" w:afterAutospacing="1" w:line="240" w:lineRule="auto"/>
        <w:ind w:left="782" w:hanging="357"/>
        <w:jc w:val="both"/>
        <w:rPr>
          <w:rFonts w:ascii="Times New Roman" w:hAnsi="Times New Roman" w:cs="Times New Roman"/>
          <w:sz w:val="28"/>
          <w:szCs w:val="28"/>
        </w:rPr>
      </w:pPr>
      <w:r w:rsidRPr="00656BD8">
        <w:rPr>
          <w:rFonts w:ascii="Times New Roman" w:hAnsi="Times New Roman" w:cs="Times New Roman"/>
          <w:sz w:val="28"/>
          <w:szCs w:val="28"/>
        </w:rPr>
        <w:t xml:space="preserve">Ievērojot datu pieprasītāju intereses, Pārvalde ir novērtējusi iespējamās darbības, kas ļautu iegūt papildus detalizētāku informāciju korektākai starppatēriņa sadalīšanai pa uzņēmuma darbības veidiem un risinātu arī citas ar aprēķiniem nepieciešamās informācijas ieguvi saistītās iepriekš aprakstītās problēmas. Tādejādi tiktu iegūts kvalitatīvāks PV novērtējums pa VDVV un rastos iespēja pilsētu PV uzrādīt vismaz trijos saimnieciskās darbības dalījumos – primārā ekonomika (NACE sekcija A), sekundārā ekonomika (NACE sekcijas B-F) un terciārā ekonomika (NACE sekcijas G-S). Pasākumi šī turpmākās rīcības modeļa realizācijai, izmantojot esošo metodi, ietver šādus soļus: </w:t>
      </w:r>
    </w:p>
    <w:p w:rsidR="007B72F7" w:rsidRPr="00656BD8" w:rsidRDefault="007B72F7" w:rsidP="00656BD8">
      <w:pPr>
        <w:pStyle w:val="ListParagraph"/>
        <w:numPr>
          <w:ilvl w:val="0"/>
          <w:numId w:val="12"/>
        </w:numPr>
        <w:spacing w:before="100" w:beforeAutospacing="1" w:after="100" w:afterAutospacing="1" w:line="240" w:lineRule="auto"/>
        <w:ind w:left="1502" w:hanging="357"/>
        <w:contextualSpacing w:val="0"/>
        <w:jc w:val="both"/>
        <w:rPr>
          <w:rFonts w:ascii="Times New Roman" w:hAnsi="Times New Roman" w:cs="Times New Roman"/>
          <w:sz w:val="28"/>
          <w:szCs w:val="28"/>
        </w:rPr>
      </w:pPr>
      <w:r w:rsidRPr="00656BD8">
        <w:rPr>
          <w:rFonts w:ascii="Times New Roman" w:hAnsi="Times New Roman" w:cs="Times New Roman"/>
          <w:sz w:val="28"/>
          <w:szCs w:val="28"/>
        </w:rPr>
        <w:t>Pārvaldes veikto statistikas apsekojumu 1-gada un 2-gada papildināšanu ar jauniem rādītājiem (atbilstoši novērtējumam - 545,4 tūkstoši papildus no respondentiem savācami, ievadāmi un apstrādājami statistiskie rādītāji ik gadus);</w:t>
      </w:r>
    </w:p>
    <w:p w:rsidR="007B72F7" w:rsidRPr="00656BD8" w:rsidRDefault="007B72F7" w:rsidP="00656BD8">
      <w:pPr>
        <w:pStyle w:val="ListParagraph"/>
        <w:numPr>
          <w:ilvl w:val="0"/>
          <w:numId w:val="12"/>
        </w:numPr>
        <w:spacing w:before="100" w:beforeAutospacing="1" w:after="100" w:afterAutospacing="1" w:line="240" w:lineRule="auto"/>
        <w:ind w:left="1502" w:hanging="357"/>
        <w:contextualSpacing w:val="0"/>
        <w:jc w:val="both"/>
        <w:rPr>
          <w:rFonts w:ascii="Times New Roman" w:hAnsi="Times New Roman" w:cs="Times New Roman"/>
          <w:sz w:val="28"/>
          <w:szCs w:val="28"/>
        </w:rPr>
      </w:pPr>
      <w:r w:rsidRPr="00656BD8">
        <w:rPr>
          <w:rFonts w:ascii="Times New Roman" w:hAnsi="Times New Roman" w:cs="Times New Roman"/>
          <w:sz w:val="28"/>
          <w:szCs w:val="28"/>
        </w:rPr>
        <w:t>Ar Pārvaldes veikto statistikas apsekojumu 1-gada un 1-DVV aptverto komersantu skaita palielināšanu par 3,8 tūkstošiem ik gadus;</w:t>
      </w:r>
    </w:p>
    <w:p w:rsidR="007B72F7" w:rsidRPr="00656BD8" w:rsidRDefault="007B72F7" w:rsidP="00656BD8">
      <w:pPr>
        <w:pStyle w:val="ListParagraph"/>
        <w:numPr>
          <w:ilvl w:val="0"/>
          <w:numId w:val="12"/>
        </w:numPr>
        <w:spacing w:before="100" w:beforeAutospacing="1" w:after="100" w:afterAutospacing="1" w:line="240" w:lineRule="auto"/>
        <w:ind w:left="1502" w:hanging="357"/>
        <w:contextualSpacing w:val="0"/>
        <w:jc w:val="both"/>
        <w:rPr>
          <w:rFonts w:ascii="Times New Roman" w:hAnsi="Times New Roman" w:cs="Times New Roman"/>
          <w:sz w:val="28"/>
          <w:szCs w:val="28"/>
        </w:rPr>
      </w:pPr>
      <w:r w:rsidRPr="00656BD8">
        <w:rPr>
          <w:rFonts w:ascii="Times New Roman" w:hAnsi="Times New Roman" w:cs="Times New Roman"/>
          <w:sz w:val="28"/>
          <w:szCs w:val="28"/>
        </w:rPr>
        <w:t>Pārvaldes veiktā ceturkšņa apsekojuma 2-darbs aptverto privātā sektora respondentu skaita palielināšanu par 3,0 tūkstošiem gadā;</w:t>
      </w:r>
    </w:p>
    <w:p w:rsidR="007B72F7" w:rsidRPr="00656BD8" w:rsidRDefault="007B72F7" w:rsidP="00656BD8">
      <w:pPr>
        <w:pStyle w:val="ListParagraph"/>
        <w:numPr>
          <w:ilvl w:val="0"/>
          <w:numId w:val="12"/>
        </w:numPr>
        <w:spacing w:before="100" w:beforeAutospacing="1" w:after="100" w:afterAutospacing="1" w:line="240" w:lineRule="auto"/>
        <w:ind w:left="1502" w:hanging="357"/>
        <w:contextualSpacing w:val="0"/>
        <w:jc w:val="both"/>
        <w:rPr>
          <w:rFonts w:ascii="Times New Roman" w:hAnsi="Times New Roman" w:cs="Times New Roman"/>
          <w:sz w:val="28"/>
          <w:szCs w:val="28"/>
        </w:rPr>
      </w:pPr>
      <w:r w:rsidRPr="00656BD8">
        <w:rPr>
          <w:rFonts w:ascii="Times New Roman" w:hAnsi="Times New Roman" w:cs="Times New Roman"/>
          <w:sz w:val="28"/>
          <w:szCs w:val="28"/>
        </w:rPr>
        <w:t>Būtiski aktivizētu un padziļinātu statistikas iestādes darbinieku piekļuvi reģistriem un citiem administratīvajiem datu avotiem un no tiem iegūstamo datu analīzi atbilstoši šī ziņojuma sadaļā 3.1.1</w:t>
      </w:r>
      <w:r w:rsidR="00F539F4">
        <w:rPr>
          <w:rFonts w:ascii="Times New Roman" w:hAnsi="Times New Roman" w:cs="Times New Roman"/>
          <w:sz w:val="28"/>
          <w:szCs w:val="28"/>
        </w:rPr>
        <w:t xml:space="preserve">. </w:t>
      </w:r>
      <w:r w:rsidRPr="00656BD8">
        <w:rPr>
          <w:rFonts w:ascii="Times New Roman" w:hAnsi="Times New Roman" w:cs="Times New Roman"/>
          <w:sz w:val="28"/>
          <w:szCs w:val="28"/>
        </w:rPr>
        <w:t>minētajam.</w:t>
      </w:r>
    </w:p>
    <w:p w:rsidR="007B72F7" w:rsidRPr="009F5D26" w:rsidRDefault="007B72F7" w:rsidP="009F5D26">
      <w:pPr>
        <w:pStyle w:val="ListParagraph"/>
        <w:spacing w:before="100" w:beforeAutospacing="1" w:after="100" w:afterAutospacing="1" w:line="240" w:lineRule="auto"/>
        <w:ind w:left="0" w:firstLine="720"/>
        <w:contextualSpacing w:val="0"/>
        <w:jc w:val="both"/>
        <w:rPr>
          <w:rFonts w:ascii="Times New Roman" w:hAnsi="Times New Roman" w:cs="Times New Roman"/>
          <w:sz w:val="28"/>
          <w:szCs w:val="28"/>
        </w:rPr>
      </w:pPr>
      <w:r w:rsidRPr="009F5D26">
        <w:rPr>
          <w:rFonts w:ascii="Times New Roman" w:hAnsi="Times New Roman" w:cs="Times New Roman"/>
          <w:sz w:val="28"/>
          <w:szCs w:val="28"/>
        </w:rPr>
        <w:lastRenderedPageBreak/>
        <w:t xml:space="preserve">Ir aprēķināts, ka iepriekš nosaukto pasākumu realizācijai Pārvaldei jau 2016.gadā par 12 darbiniekiem ir jāpalielina amata vietu skaits, tai skaitā, jāizveido piecas jaunas vecāko referentu amatu vietas 10.mēnešalgu grupā un septiņas jaunas statistiķu amata vietas 7.mēnešalgu grupā. </w:t>
      </w:r>
    </w:p>
    <w:p w:rsidR="007B72F7" w:rsidRPr="009F5D26" w:rsidRDefault="007B72F7" w:rsidP="009F5D26">
      <w:pPr>
        <w:pStyle w:val="ListParagraph"/>
        <w:spacing w:before="100" w:beforeAutospacing="1" w:after="100" w:afterAutospacing="1" w:line="240" w:lineRule="auto"/>
        <w:ind w:left="0" w:firstLine="720"/>
        <w:contextualSpacing w:val="0"/>
        <w:jc w:val="both"/>
        <w:rPr>
          <w:rFonts w:ascii="Times New Roman" w:hAnsi="Times New Roman" w:cs="Times New Roman"/>
          <w:sz w:val="28"/>
          <w:szCs w:val="28"/>
        </w:rPr>
      </w:pPr>
      <w:r w:rsidRPr="009F5D26">
        <w:rPr>
          <w:rFonts w:ascii="Times New Roman" w:hAnsi="Times New Roman" w:cs="Times New Roman"/>
          <w:sz w:val="28"/>
          <w:szCs w:val="28"/>
        </w:rPr>
        <w:t xml:space="preserve">Kopumā šīs jaunās politikas iniciatīvas ieviešanas sākuma posmā 2016.gadā būtu nepieciešams valsts budžeta finansējums 405 751 </w:t>
      </w:r>
      <w:proofErr w:type="spellStart"/>
      <w:r w:rsidRPr="009F5D26">
        <w:rPr>
          <w:rFonts w:ascii="Times New Roman" w:hAnsi="Times New Roman" w:cs="Times New Roman"/>
          <w:sz w:val="28"/>
          <w:szCs w:val="28"/>
        </w:rPr>
        <w:t>euro</w:t>
      </w:r>
      <w:proofErr w:type="spellEnd"/>
      <w:r w:rsidRPr="009F5D26">
        <w:rPr>
          <w:rFonts w:ascii="Times New Roman" w:hAnsi="Times New Roman" w:cs="Times New Roman"/>
          <w:sz w:val="28"/>
          <w:szCs w:val="28"/>
        </w:rPr>
        <w:t>, tai skaitā</w:t>
      </w:r>
      <w:r w:rsidR="009F5D26">
        <w:rPr>
          <w:rFonts w:ascii="Times New Roman" w:hAnsi="Times New Roman" w:cs="Times New Roman"/>
          <w:sz w:val="28"/>
          <w:szCs w:val="28"/>
        </w:rPr>
        <w:t>,</w:t>
      </w:r>
      <w:r w:rsidRPr="009F5D26">
        <w:rPr>
          <w:rFonts w:ascii="Times New Roman" w:hAnsi="Times New Roman" w:cs="Times New Roman"/>
          <w:sz w:val="28"/>
          <w:szCs w:val="28"/>
        </w:rPr>
        <w:t xml:space="preserve"> uzturēšanas izdevumi 395 635 </w:t>
      </w:r>
      <w:proofErr w:type="spellStart"/>
      <w:r w:rsidRPr="009F5D26">
        <w:rPr>
          <w:rFonts w:ascii="Times New Roman" w:hAnsi="Times New Roman" w:cs="Times New Roman"/>
          <w:sz w:val="28"/>
          <w:szCs w:val="28"/>
        </w:rPr>
        <w:t>euro</w:t>
      </w:r>
      <w:proofErr w:type="spellEnd"/>
      <w:r w:rsidRPr="009F5D26">
        <w:rPr>
          <w:rFonts w:ascii="Times New Roman" w:hAnsi="Times New Roman" w:cs="Times New Roman"/>
          <w:sz w:val="28"/>
          <w:szCs w:val="28"/>
        </w:rPr>
        <w:t xml:space="preserve">, no tiem atlīdzība – 211 068 </w:t>
      </w:r>
      <w:proofErr w:type="spellStart"/>
      <w:r w:rsidRPr="009F5D26">
        <w:rPr>
          <w:rFonts w:ascii="Times New Roman" w:hAnsi="Times New Roman" w:cs="Times New Roman"/>
          <w:sz w:val="28"/>
          <w:szCs w:val="28"/>
        </w:rPr>
        <w:t>euro</w:t>
      </w:r>
      <w:proofErr w:type="spellEnd"/>
      <w:r w:rsidRPr="009F5D26">
        <w:rPr>
          <w:rFonts w:ascii="Times New Roman" w:hAnsi="Times New Roman" w:cs="Times New Roman"/>
          <w:sz w:val="28"/>
          <w:szCs w:val="28"/>
        </w:rPr>
        <w:t xml:space="preserve"> un preces un pakalpojumi - 184 567 </w:t>
      </w:r>
      <w:proofErr w:type="spellStart"/>
      <w:r w:rsidRPr="009F5D26">
        <w:rPr>
          <w:rFonts w:ascii="Times New Roman" w:hAnsi="Times New Roman" w:cs="Times New Roman"/>
          <w:sz w:val="28"/>
          <w:szCs w:val="28"/>
        </w:rPr>
        <w:t>euro</w:t>
      </w:r>
      <w:proofErr w:type="spellEnd"/>
      <w:r w:rsidRPr="009F5D26">
        <w:rPr>
          <w:rFonts w:ascii="Times New Roman" w:hAnsi="Times New Roman" w:cs="Times New Roman"/>
          <w:sz w:val="28"/>
          <w:szCs w:val="28"/>
        </w:rPr>
        <w:t xml:space="preserve"> apjomā. 12 </w:t>
      </w:r>
      <w:proofErr w:type="gramStart"/>
      <w:r w:rsidRPr="009F5D26">
        <w:rPr>
          <w:rFonts w:ascii="Times New Roman" w:hAnsi="Times New Roman" w:cs="Times New Roman"/>
          <w:sz w:val="28"/>
          <w:szCs w:val="28"/>
        </w:rPr>
        <w:t>darba vietu</w:t>
      </w:r>
      <w:proofErr w:type="gramEnd"/>
      <w:r w:rsidRPr="009F5D26">
        <w:rPr>
          <w:rFonts w:ascii="Times New Roman" w:hAnsi="Times New Roman" w:cs="Times New Roman"/>
          <w:sz w:val="28"/>
          <w:szCs w:val="28"/>
        </w:rPr>
        <w:t xml:space="preserve"> iekārtošanai būtu jānovirza kapitālie izdevumi 10 116 </w:t>
      </w:r>
      <w:proofErr w:type="spellStart"/>
      <w:r w:rsidRPr="009F5D26">
        <w:rPr>
          <w:rFonts w:ascii="Times New Roman" w:hAnsi="Times New Roman" w:cs="Times New Roman"/>
          <w:sz w:val="28"/>
          <w:szCs w:val="28"/>
        </w:rPr>
        <w:t>euro</w:t>
      </w:r>
      <w:proofErr w:type="spellEnd"/>
      <w:r w:rsidRPr="009F5D26">
        <w:rPr>
          <w:rFonts w:ascii="Times New Roman" w:hAnsi="Times New Roman" w:cs="Times New Roman"/>
          <w:sz w:val="28"/>
          <w:szCs w:val="28"/>
        </w:rPr>
        <w:t xml:space="preserve"> apjomā. Turpmāk pasākumam nepieciešamais finanšu resursu apjoms būtu 386 614 </w:t>
      </w:r>
      <w:proofErr w:type="spellStart"/>
      <w:r w:rsidRPr="009F5D26">
        <w:rPr>
          <w:rFonts w:ascii="Times New Roman" w:hAnsi="Times New Roman" w:cs="Times New Roman"/>
          <w:sz w:val="28"/>
          <w:szCs w:val="28"/>
        </w:rPr>
        <w:t>euro</w:t>
      </w:r>
      <w:proofErr w:type="spellEnd"/>
      <w:r w:rsidRPr="009F5D26">
        <w:rPr>
          <w:rFonts w:ascii="Times New Roman" w:hAnsi="Times New Roman" w:cs="Times New Roman"/>
          <w:sz w:val="28"/>
          <w:szCs w:val="28"/>
        </w:rPr>
        <w:t xml:space="preserve"> ik gadus.</w:t>
      </w:r>
    </w:p>
    <w:p w:rsidR="007B72F7" w:rsidRPr="009F5D26" w:rsidRDefault="007B72F7" w:rsidP="009F5D26">
      <w:pPr>
        <w:pStyle w:val="ListParagraph"/>
        <w:spacing w:before="100" w:beforeAutospacing="1" w:after="100" w:afterAutospacing="1" w:line="240" w:lineRule="auto"/>
        <w:ind w:left="0" w:firstLine="720"/>
        <w:contextualSpacing w:val="0"/>
        <w:jc w:val="both"/>
        <w:rPr>
          <w:rFonts w:ascii="Times New Roman" w:hAnsi="Times New Roman" w:cs="Times New Roman"/>
          <w:sz w:val="28"/>
          <w:szCs w:val="28"/>
        </w:rPr>
      </w:pPr>
      <w:r w:rsidRPr="009F5D26">
        <w:rPr>
          <w:rFonts w:ascii="Times New Roman" w:hAnsi="Times New Roman" w:cs="Times New Roman"/>
          <w:sz w:val="28"/>
          <w:szCs w:val="28"/>
        </w:rPr>
        <w:t xml:space="preserve">Vienlaikus jāatzīmē, ka apsekojumu apjoma paplašināšana un respondentu ievērojama papildu skaita iekļaušana statistikas apsekojumos izraisīs respondentu administratīvās </w:t>
      </w:r>
      <w:r w:rsidR="009F5D26">
        <w:rPr>
          <w:rFonts w:ascii="Times New Roman" w:hAnsi="Times New Roman" w:cs="Times New Roman"/>
          <w:sz w:val="28"/>
          <w:szCs w:val="28"/>
        </w:rPr>
        <w:t>slodzes ievērojamu pieaugumu un</w:t>
      </w:r>
      <w:r w:rsidRPr="009F5D26">
        <w:rPr>
          <w:rFonts w:ascii="Times New Roman" w:hAnsi="Times New Roman" w:cs="Times New Roman"/>
          <w:sz w:val="28"/>
          <w:szCs w:val="28"/>
        </w:rPr>
        <w:t xml:space="preserve"> i</w:t>
      </w:r>
      <w:r w:rsidR="009F5D26">
        <w:rPr>
          <w:rFonts w:ascii="Times New Roman" w:hAnsi="Times New Roman" w:cs="Times New Roman"/>
          <w:sz w:val="28"/>
          <w:szCs w:val="28"/>
        </w:rPr>
        <w:t>espējams</w:t>
      </w:r>
      <w:r w:rsidRPr="009F5D26">
        <w:rPr>
          <w:rFonts w:ascii="Times New Roman" w:hAnsi="Times New Roman" w:cs="Times New Roman"/>
          <w:sz w:val="28"/>
          <w:szCs w:val="28"/>
        </w:rPr>
        <w:t xml:space="preserve"> izvairīšanos no pārskatu iesniegšanas, jo īpaši tāpēc, ka nacionālā likumdošana komersantiem, iestādēm un nodibinājumiem neizvirza prasības uzskaites vešanai pilsētu PV un IKP aprēķinam nepieciešamajā detalizācijā. </w:t>
      </w:r>
    </w:p>
    <w:p w:rsidR="007B72F7" w:rsidRPr="009F5D26" w:rsidRDefault="007B72F7" w:rsidP="009F5D26">
      <w:pPr>
        <w:pStyle w:val="ListParagraph"/>
        <w:spacing w:before="100" w:beforeAutospacing="1" w:after="100" w:afterAutospacing="1" w:line="240" w:lineRule="auto"/>
        <w:ind w:left="0" w:firstLine="720"/>
        <w:contextualSpacing w:val="0"/>
        <w:jc w:val="both"/>
        <w:rPr>
          <w:rFonts w:ascii="Times New Roman" w:hAnsi="Times New Roman" w:cs="Times New Roman"/>
          <w:sz w:val="28"/>
          <w:szCs w:val="28"/>
        </w:rPr>
      </w:pPr>
      <w:r w:rsidRPr="009F5D26">
        <w:rPr>
          <w:rFonts w:ascii="Times New Roman" w:hAnsi="Times New Roman" w:cs="Times New Roman"/>
          <w:sz w:val="28"/>
          <w:szCs w:val="28"/>
        </w:rPr>
        <w:t>Darba grupa šobrīd neatbalsta šī priekšlikuma tālāku virzību, jo tas paredz administratīvā sloga būtisku palielināšanu un prasa ievērojamus finanšu resursus</w:t>
      </w:r>
      <w:r w:rsidR="009F5D26">
        <w:rPr>
          <w:rFonts w:ascii="Times New Roman" w:hAnsi="Times New Roman" w:cs="Times New Roman"/>
          <w:sz w:val="28"/>
          <w:szCs w:val="28"/>
        </w:rPr>
        <w:t>.</w:t>
      </w:r>
    </w:p>
    <w:p w:rsidR="007B72F7" w:rsidRPr="008A2676" w:rsidRDefault="007B72F7" w:rsidP="008A2676">
      <w:pPr>
        <w:pStyle w:val="ListParagraph"/>
        <w:numPr>
          <w:ilvl w:val="0"/>
          <w:numId w:val="11"/>
        </w:numPr>
        <w:spacing w:before="100" w:beforeAutospacing="1" w:after="100" w:afterAutospacing="1" w:line="240" w:lineRule="auto"/>
        <w:ind w:left="782" w:hanging="357"/>
        <w:jc w:val="both"/>
        <w:rPr>
          <w:rFonts w:ascii="Times New Roman" w:hAnsi="Times New Roman" w:cs="Times New Roman"/>
          <w:sz w:val="28"/>
          <w:szCs w:val="28"/>
        </w:rPr>
      </w:pPr>
      <w:r w:rsidRPr="008A2676">
        <w:rPr>
          <w:rFonts w:ascii="Times New Roman" w:hAnsi="Times New Roman" w:cs="Times New Roman"/>
          <w:sz w:val="28"/>
          <w:szCs w:val="28"/>
        </w:rPr>
        <w:t>Ņemot vērā, ka pirmajā priekšlikumā apskatītā eksperimentālā aprēķina rezultāti nedod iespēju veikt teritoriju ekonomikas paplašinātu analīzi, un otrajā priekšlikumā aprakstīto papildus datu iegūšana ir saistīta ar respondentu noslodzes būtisku palielināšanu un ievērojamiem papildu finanšu resursiem, Darba grupa ierosina sākt darbu pie republikas pilsētu ekonomisko attīstību raksturojošo indikatoru noteikšanas un šo indikatoru aprēķinu metodes izstrādes. Iegūtos rezultātus būtu iespējams veiksmīgāk izmantot republikas pilsētu ekonomiskās vides savstarpējai salīdzināšanai nacionālā mērogā. Vienlaikus tiktu arī izstrādāti priekšlikumi administratīvo datu avotu informācijas pilnveidošanai</w:t>
      </w:r>
      <w:r w:rsidR="003C723B">
        <w:rPr>
          <w:rFonts w:ascii="Times New Roman" w:hAnsi="Times New Roman" w:cs="Times New Roman"/>
          <w:sz w:val="28"/>
          <w:szCs w:val="28"/>
        </w:rPr>
        <w:t xml:space="preserve">, </w:t>
      </w:r>
      <w:r w:rsidR="003C723B" w:rsidRPr="003C723B">
        <w:rPr>
          <w:rFonts w:ascii="Times New Roman" w:hAnsi="Times New Roman" w:cs="Times New Roman"/>
          <w:sz w:val="28"/>
          <w:szCs w:val="28"/>
        </w:rPr>
        <w:t>nepieciešamības gadījumā sniedzot priekšlikumus normatīvo aktu grozījumiem</w:t>
      </w:r>
      <w:r w:rsidR="00A42915">
        <w:rPr>
          <w:rFonts w:ascii="Times New Roman" w:hAnsi="Times New Roman" w:cs="Times New Roman"/>
          <w:sz w:val="28"/>
          <w:szCs w:val="28"/>
        </w:rPr>
        <w:t>.</w:t>
      </w:r>
    </w:p>
    <w:p w:rsidR="008A2676" w:rsidRDefault="008A2676" w:rsidP="008A2676">
      <w:pPr>
        <w:pStyle w:val="ListParagraph"/>
        <w:spacing w:before="100" w:beforeAutospacing="1" w:after="100" w:afterAutospacing="1" w:line="240" w:lineRule="auto"/>
        <w:ind w:left="0" w:firstLine="720"/>
        <w:contextualSpacing w:val="0"/>
        <w:jc w:val="both"/>
        <w:rPr>
          <w:rFonts w:ascii="Times New Roman" w:hAnsi="Times New Roman" w:cs="Times New Roman"/>
          <w:sz w:val="28"/>
          <w:szCs w:val="28"/>
        </w:rPr>
      </w:pPr>
    </w:p>
    <w:p w:rsidR="007E6646" w:rsidRDefault="007E6646" w:rsidP="008A2676">
      <w:pPr>
        <w:pStyle w:val="ListParagraph"/>
        <w:spacing w:before="100" w:beforeAutospacing="1" w:after="100" w:afterAutospacing="1" w:line="24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 xml:space="preserve">Ievērojot lietotāju pastāvīgo pieprasījumu pēc </w:t>
      </w:r>
      <w:r w:rsidRPr="008A2676">
        <w:rPr>
          <w:rFonts w:ascii="Times New Roman" w:hAnsi="Times New Roman" w:cs="Times New Roman"/>
          <w:sz w:val="28"/>
          <w:szCs w:val="28"/>
        </w:rPr>
        <w:t>republikas pilsētu ekonomis</w:t>
      </w:r>
      <w:r>
        <w:rPr>
          <w:rFonts w:ascii="Times New Roman" w:hAnsi="Times New Roman" w:cs="Times New Roman"/>
          <w:sz w:val="28"/>
          <w:szCs w:val="28"/>
        </w:rPr>
        <w:t>ko attīstību raksturojošiem indikatoriem, kas ļautu novērtēt un savstarpēji</w:t>
      </w:r>
      <w:proofErr w:type="gramStart"/>
      <w:r>
        <w:rPr>
          <w:rFonts w:ascii="Times New Roman" w:hAnsi="Times New Roman" w:cs="Times New Roman"/>
          <w:sz w:val="28"/>
          <w:szCs w:val="28"/>
        </w:rPr>
        <w:t xml:space="preserve">  </w:t>
      </w:r>
      <w:proofErr w:type="gramEnd"/>
      <w:r w:rsidRPr="008A2676">
        <w:rPr>
          <w:rFonts w:ascii="Times New Roman" w:hAnsi="Times New Roman" w:cs="Times New Roman"/>
          <w:sz w:val="28"/>
          <w:szCs w:val="28"/>
        </w:rPr>
        <w:t>salīdzinā</w:t>
      </w:r>
      <w:r>
        <w:rPr>
          <w:rFonts w:ascii="Times New Roman" w:hAnsi="Times New Roman" w:cs="Times New Roman"/>
          <w:sz w:val="28"/>
          <w:szCs w:val="28"/>
        </w:rPr>
        <w:t>t republikas pilsētu ekonomisko vidi, Darba grupa atbalsta</w:t>
      </w:r>
      <w:r w:rsidR="006D3AC1">
        <w:rPr>
          <w:rFonts w:ascii="Times New Roman" w:hAnsi="Times New Roman" w:cs="Times New Roman"/>
          <w:sz w:val="28"/>
          <w:szCs w:val="28"/>
        </w:rPr>
        <w:t xml:space="preserve"> priekšlikumu </w:t>
      </w:r>
      <w:r w:rsidR="006D3AC1" w:rsidRPr="008A2676">
        <w:rPr>
          <w:rFonts w:ascii="Times New Roman" w:hAnsi="Times New Roman" w:cs="Times New Roman"/>
          <w:sz w:val="28"/>
          <w:szCs w:val="28"/>
        </w:rPr>
        <w:t>–</w:t>
      </w:r>
      <w:r>
        <w:rPr>
          <w:rFonts w:ascii="Times New Roman" w:hAnsi="Times New Roman" w:cs="Times New Roman"/>
          <w:sz w:val="28"/>
          <w:szCs w:val="28"/>
        </w:rPr>
        <w:t xml:space="preserve"> </w:t>
      </w:r>
      <w:r w:rsidRPr="008A2676">
        <w:rPr>
          <w:rFonts w:ascii="Times New Roman" w:hAnsi="Times New Roman" w:cs="Times New Roman"/>
          <w:sz w:val="28"/>
          <w:szCs w:val="28"/>
        </w:rPr>
        <w:t xml:space="preserve">sākt darbu pie </w:t>
      </w:r>
      <w:r w:rsidR="006D3AC1">
        <w:rPr>
          <w:rFonts w:ascii="Times New Roman" w:hAnsi="Times New Roman" w:cs="Times New Roman"/>
          <w:sz w:val="28"/>
          <w:szCs w:val="28"/>
        </w:rPr>
        <w:t>šādu</w:t>
      </w:r>
      <w:r w:rsidRPr="008A2676">
        <w:rPr>
          <w:rFonts w:ascii="Times New Roman" w:hAnsi="Times New Roman" w:cs="Times New Roman"/>
          <w:sz w:val="28"/>
          <w:szCs w:val="28"/>
        </w:rPr>
        <w:t xml:space="preserve"> indikatoru noteikšanas un </w:t>
      </w:r>
      <w:r w:rsidR="006D3AC1">
        <w:rPr>
          <w:rFonts w:ascii="Times New Roman" w:hAnsi="Times New Roman" w:cs="Times New Roman"/>
          <w:sz w:val="28"/>
          <w:szCs w:val="28"/>
        </w:rPr>
        <w:t>š</w:t>
      </w:r>
      <w:r w:rsidRPr="008A2676">
        <w:rPr>
          <w:rFonts w:ascii="Times New Roman" w:hAnsi="Times New Roman" w:cs="Times New Roman"/>
          <w:sz w:val="28"/>
          <w:szCs w:val="28"/>
        </w:rPr>
        <w:t>o indikatoru aprēķinu metodes izstrādes</w:t>
      </w:r>
      <w:r w:rsidR="006D3AC1">
        <w:rPr>
          <w:rFonts w:ascii="Times New Roman" w:hAnsi="Times New Roman" w:cs="Times New Roman"/>
          <w:sz w:val="28"/>
          <w:szCs w:val="28"/>
        </w:rPr>
        <w:t>.</w:t>
      </w:r>
      <w:r>
        <w:rPr>
          <w:rFonts w:ascii="Times New Roman" w:hAnsi="Times New Roman" w:cs="Times New Roman"/>
          <w:sz w:val="28"/>
          <w:szCs w:val="28"/>
        </w:rPr>
        <w:t xml:space="preserve">   </w:t>
      </w:r>
    </w:p>
    <w:p w:rsidR="007B72F7" w:rsidRPr="008A2676" w:rsidRDefault="007B72F7" w:rsidP="008A2676">
      <w:pPr>
        <w:pStyle w:val="ListParagraph"/>
        <w:spacing w:before="100" w:beforeAutospacing="1" w:after="100" w:afterAutospacing="1" w:line="240" w:lineRule="auto"/>
        <w:ind w:left="0" w:firstLine="720"/>
        <w:contextualSpacing w:val="0"/>
        <w:jc w:val="both"/>
        <w:rPr>
          <w:rFonts w:ascii="Times New Roman" w:hAnsi="Times New Roman" w:cs="Times New Roman"/>
          <w:sz w:val="28"/>
          <w:szCs w:val="28"/>
        </w:rPr>
      </w:pPr>
      <w:r w:rsidRPr="008A2676">
        <w:rPr>
          <w:rFonts w:ascii="Times New Roman" w:hAnsi="Times New Roman" w:cs="Times New Roman"/>
          <w:sz w:val="28"/>
          <w:szCs w:val="28"/>
        </w:rPr>
        <w:lastRenderedPageBreak/>
        <w:t xml:space="preserve">Šī priekšlikuma īstenošanai būtu nepieciešami cilvēkresursi, kas būtu līdzvērtīgi četru vecāko referentu amatu vietām 10.mēnešalgu grupā. Atsevišķos indikatoru aprēķinu metodes izstrādes posmos būtu piesaistāmi ārēji ekonomikas eksperti. Kopumā nepieciešamais papildus finansējums, t.sk., </w:t>
      </w:r>
      <w:proofErr w:type="gramStart"/>
      <w:r w:rsidRPr="008A2676">
        <w:rPr>
          <w:rFonts w:ascii="Times New Roman" w:hAnsi="Times New Roman" w:cs="Times New Roman"/>
          <w:sz w:val="28"/>
          <w:szCs w:val="28"/>
        </w:rPr>
        <w:t>darba vietu</w:t>
      </w:r>
      <w:proofErr w:type="gramEnd"/>
      <w:r w:rsidRPr="008A2676">
        <w:rPr>
          <w:rFonts w:ascii="Times New Roman" w:hAnsi="Times New Roman" w:cs="Times New Roman"/>
          <w:sz w:val="28"/>
          <w:szCs w:val="28"/>
        </w:rPr>
        <w:t xml:space="preserve"> iekārtošanai un uzturēšana</w:t>
      </w:r>
      <w:r w:rsidR="00E93A8B">
        <w:rPr>
          <w:rFonts w:ascii="Times New Roman" w:hAnsi="Times New Roman" w:cs="Times New Roman"/>
          <w:sz w:val="28"/>
          <w:szCs w:val="28"/>
        </w:rPr>
        <w:t>i</w:t>
      </w:r>
      <w:r w:rsidRPr="008A2676">
        <w:rPr>
          <w:rFonts w:ascii="Times New Roman" w:hAnsi="Times New Roman" w:cs="Times New Roman"/>
          <w:sz w:val="28"/>
          <w:szCs w:val="28"/>
        </w:rPr>
        <w:t xml:space="preserve">, no valsts budžeta </w:t>
      </w:r>
      <w:r w:rsidR="00961ADD">
        <w:rPr>
          <w:rFonts w:ascii="Times New Roman" w:hAnsi="Times New Roman" w:cs="Times New Roman"/>
          <w:sz w:val="28"/>
          <w:szCs w:val="28"/>
        </w:rPr>
        <w:t>2016.gadā veido</w:t>
      </w:r>
      <w:r w:rsidRPr="008A2676">
        <w:rPr>
          <w:rFonts w:ascii="Times New Roman" w:hAnsi="Times New Roman" w:cs="Times New Roman"/>
          <w:sz w:val="28"/>
          <w:szCs w:val="28"/>
        </w:rPr>
        <w:t xml:space="preserve"> 96 649 </w:t>
      </w:r>
      <w:proofErr w:type="spellStart"/>
      <w:r w:rsidRPr="008A2676">
        <w:rPr>
          <w:rFonts w:ascii="Times New Roman" w:hAnsi="Times New Roman" w:cs="Times New Roman"/>
          <w:sz w:val="28"/>
          <w:szCs w:val="28"/>
        </w:rPr>
        <w:t>euro</w:t>
      </w:r>
      <w:proofErr w:type="spellEnd"/>
      <w:r w:rsidRPr="008A2676">
        <w:rPr>
          <w:rFonts w:ascii="Times New Roman" w:hAnsi="Times New Roman" w:cs="Times New Roman"/>
          <w:sz w:val="28"/>
          <w:szCs w:val="28"/>
        </w:rPr>
        <w:t xml:space="preserve">, bet 2017.gadā – 90 721 </w:t>
      </w:r>
      <w:proofErr w:type="spellStart"/>
      <w:r w:rsidRPr="008A2676">
        <w:rPr>
          <w:rFonts w:ascii="Times New Roman" w:hAnsi="Times New Roman" w:cs="Times New Roman"/>
          <w:sz w:val="28"/>
          <w:szCs w:val="28"/>
        </w:rPr>
        <w:t>euro</w:t>
      </w:r>
      <w:proofErr w:type="spellEnd"/>
      <w:r w:rsidRPr="008A2676">
        <w:rPr>
          <w:rFonts w:ascii="Times New Roman" w:hAnsi="Times New Roman" w:cs="Times New Roman"/>
          <w:sz w:val="28"/>
          <w:szCs w:val="28"/>
        </w:rPr>
        <w:t>. Indikatori un metode tiktu izstrādāta divu gadu laikā no nepieciešamo resursu piešķiršanas.</w:t>
      </w:r>
    </w:p>
    <w:p w:rsidR="003A239B" w:rsidRDefault="003A239B" w:rsidP="007B72F7">
      <w:pPr>
        <w:pStyle w:val="ListParagraph"/>
        <w:spacing w:before="100" w:beforeAutospacing="1" w:after="100" w:afterAutospacing="1" w:line="240" w:lineRule="auto"/>
        <w:ind w:left="0" w:firstLine="720"/>
        <w:contextualSpacing w:val="0"/>
        <w:jc w:val="both"/>
        <w:rPr>
          <w:rFonts w:ascii="Times New Roman" w:hAnsi="Times New Roman" w:cs="Times New Roman"/>
          <w:sz w:val="28"/>
          <w:szCs w:val="28"/>
        </w:rPr>
      </w:pPr>
    </w:p>
    <w:p w:rsidR="005426D5" w:rsidRDefault="005426D5" w:rsidP="005426D5">
      <w:pPr>
        <w:tabs>
          <w:tab w:val="right" w:pos="9072"/>
        </w:tabs>
        <w:spacing w:line="360" w:lineRule="auto"/>
        <w:rPr>
          <w:rFonts w:ascii="Times New Roman" w:hAnsi="Times New Roman" w:cs="Times New Roman"/>
          <w:sz w:val="28"/>
          <w:szCs w:val="28"/>
        </w:rPr>
      </w:pPr>
      <w:r>
        <w:rPr>
          <w:rFonts w:ascii="Times New Roman" w:hAnsi="Times New Roman" w:cs="Times New Roman"/>
          <w:sz w:val="28"/>
          <w:szCs w:val="28"/>
        </w:rPr>
        <w:t>Ekonomikas ministre</w:t>
      </w:r>
      <w:r>
        <w:rPr>
          <w:rFonts w:ascii="Times New Roman" w:hAnsi="Times New Roman" w:cs="Times New Roman"/>
          <w:sz w:val="28"/>
          <w:szCs w:val="28"/>
        </w:rPr>
        <w:tab/>
        <w:t>D. Reizniece-Ozola</w:t>
      </w:r>
    </w:p>
    <w:p w:rsidR="005426D5" w:rsidRDefault="005426D5" w:rsidP="005426D5">
      <w:pPr>
        <w:spacing w:after="0" w:line="240" w:lineRule="auto"/>
        <w:jc w:val="both"/>
        <w:rPr>
          <w:rFonts w:ascii="Times New Roman" w:hAnsi="Times New Roman" w:cs="Times New Roman"/>
          <w:sz w:val="28"/>
          <w:szCs w:val="28"/>
          <w:lang w:eastAsia="lv-LV"/>
        </w:rPr>
      </w:pPr>
    </w:p>
    <w:p w:rsidR="005426D5" w:rsidRDefault="005426D5" w:rsidP="005426D5">
      <w:pPr>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Vīza: valsts sekretāra pienākumu izpildītājs </w:t>
      </w:r>
    </w:p>
    <w:p w:rsidR="005426D5" w:rsidRDefault="005426D5" w:rsidP="005426D5">
      <w:pPr>
        <w:tabs>
          <w:tab w:val="right" w:pos="9072"/>
        </w:tabs>
        <w:spacing w:after="0" w:line="240" w:lineRule="auto"/>
        <w:ind w:right="-766"/>
        <w:rPr>
          <w:rFonts w:ascii="Times New Roman" w:hAnsi="Times New Roman" w:cs="Times New Roman"/>
          <w:sz w:val="28"/>
          <w:szCs w:val="28"/>
          <w:lang w:eastAsia="lv-LV"/>
        </w:rPr>
      </w:pPr>
      <w:r>
        <w:rPr>
          <w:rFonts w:ascii="Times New Roman" w:hAnsi="Times New Roman" w:cs="Times New Roman"/>
          <w:sz w:val="28"/>
          <w:szCs w:val="28"/>
          <w:lang w:eastAsia="lv-LV"/>
        </w:rPr>
        <w:t>valsts sekretāra vietnieks</w:t>
      </w:r>
      <w:r>
        <w:rPr>
          <w:rFonts w:ascii="Times New Roman" w:hAnsi="Times New Roman" w:cs="Times New Roman"/>
          <w:sz w:val="28"/>
          <w:szCs w:val="28"/>
          <w:lang w:eastAsia="lv-LV"/>
        </w:rPr>
        <w:tab/>
        <w:t>J. Spiridonovs</w:t>
      </w:r>
    </w:p>
    <w:p w:rsidR="005426D5" w:rsidRDefault="005426D5" w:rsidP="005426D5">
      <w:pPr>
        <w:rPr>
          <w:rFonts w:ascii="Times New Roman" w:hAnsi="Times New Roman" w:cs="Times New Roman"/>
        </w:rPr>
      </w:pPr>
    </w:p>
    <w:p w:rsidR="005426D5" w:rsidRDefault="005426D5" w:rsidP="005426D5">
      <w:pPr>
        <w:rPr>
          <w:rFonts w:ascii="Times New Roman" w:hAnsi="Times New Roman" w:cs="Times New Roman"/>
        </w:rPr>
      </w:pPr>
    </w:p>
    <w:p w:rsidR="005426D5" w:rsidRDefault="005426D5" w:rsidP="005426D5">
      <w:pPr>
        <w:spacing w:after="0" w:line="240" w:lineRule="auto"/>
        <w:rPr>
          <w:rFonts w:ascii="Times New Roman" w:hAnsi="Times New Roman" w:cs="Times New Roman"/>
          <w:sz w:val="20"/>
        </w:rPr>
      </w:pPr>
      <w:r>
        <w:rPr>
          <w:rFonts w:ascii="Times New Roman" w:hAnsi="Times New Roman" w:cs="Times New Roman"/>
          <w:sz w:val="20"/>
        </w:rPr>
        <w:t>18.06.2015.</w:t>
      </w:r>
    </w:p>
    <w:p w:rsidR="005426D5" w:rsidRDefault="007B6C33" w:rsidP="005426D5">
      <w:pPr>
        <w:spacing w:after="0" w:line="240" w:lineRule="auto"/>
        <w:rPr>
          <w:rFonts w:ascii="Times New Roman" w:hAnsi="Times New Roman" w:cs="Times New Roman"/>
          <w:sz w:val="20"/>
        </w:rPr>
      </w:pPr>
      <w:r>
        <w:rPr>
          <w:rFonts w:ascii="Times New Roman" w:hAnsi="Times New Roman" w:cs="Times New Roman"/>
          <w:sz w:val="20"/>
        </w:rPr>
        <w:t>5259</w:t>
      </w:r>
    </w:p>
    <w:p w:rsidR="005426D5" w:rsidRDefault="005426D5" w:rsidP="005426D5">
      <w:pPr>
        <w:spacing w:after="0" w:line="240" w:lineRule="auto"/>
        <w:rPr>
          <w:rFonts w:ascii="Times New Roman" w:hAnsi="Times New Roman" w:cs="Times New Roman"/>
          <w:sz w:val="20"/>
        </w:rPr>
      </w:pPr>
      <w:r>
        <w:rPr>
          <w:rFonts w:ascii="Times New Roman" w:hAnsi="Times New Roman" w:cs="Times New Roman"/>
          <w:sz w:val="20"/>
        </w:rPr>
        <w:t>Andis Rožkalns</w:t>
      </w:r>
    </w:p>
    <w:p w:rsidR="005426D5" w:rsidRDefault="005426D5" w:rsidP="005426D5">
      <w:pPr>
        <w:spacing w:after="0" w:line="240" w:lineRule="auto"/>
        <w:rPr>
          <w:rFonts w:ascii="Times New Roman" w:hAnsi="Times New Roman" w:cs="Times New Roman"/>
          <w:sz w:val="20"/>
        </w:rPr>
      </w:pPr>
      <w:r>
        <w:rPr>
          <w:rFonts w:ascii="Times New Roman" w:hAnsi="Times New Roman" w:cs="Times New Roman"/>
          <w:sz w:val="20"/>
        </w:rPr>
        <w:t>67366634</w:t>
      </w:r>
    </w:p>
    <w:p w:rsidR="005426D5" w:rsidRDefault="005426D5" w:rsidP="005426D5">
      <w:pPr>
        <w:spacing w:after="0" w:line="240" w:lineRule="auto"/>
        <w:rPr>
          <w:rFonts w:ascii="Times New Roman" w:hAnsi="Times New Roman" w:cs="Times New Roman"/>
          <w:sz w:val="20"/>
        </w:rPr>
      </w:pPr>
      <w:r>
        <w:rPr>
          <w:rFonts w:ascii="Times New Roman" w:hAnsi="Times New Roman" w:cs="Times New Roman"/>
          <w:sz w:val="20"/>
        </w:rPr>
        <w:t>Andis.Rozkalns@csb.gov.lv</w:t>
      </w:r>
    </w:p>
    <w:p w:rsidR="005426D5" w:rsidRPr="00B04185" w:rsidRDefault="005426D5" w:rsidP="007B72F7">
      <w:pPr>
        <w:pStyle w:val="ListParagraph"/>
        <w:spacing w:before="100" w:beforeAutospacing="1" w:after="100" w:afterAutospacing="1" w:line="240" w:lineRule="auto"/>
        <w:ind w:left="0" w:firstLine="720"/>
        <w:contextualSpacing w:val="0"/>
        <w:jc w:val="both"/>
        <w:rPr>
          <w:rFonts w:ascii="Times New Roman" w:hAnsi="Times New Roman" w:cs="Times New Roman"/>
          <w:sz w:val="28"/>
          <w:szCs w:val="28"/>
        </w:rPr>
      </w:pPr>
    </w:p>
    <w:sectPr w:rsidR="005426D5" w:rsidRPr="00B04185" w:rsidSect="000B0F24">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EAA" w:rsidRDefault="004E3EAA" w:rsidP="00023982">
      <w:pPr>
        <w:spacing w:after="0" w:line="240" w:lineRule="auto"/>
      </w:pPr>
      <w:r>
        <w:separator/>
      </w:r>
    </w:p>
  </w:endnote>
  <w:endnote w:type="continuationSeparator" w:id="0">
    <w:p w:rsidR="004E3EAA" w:rsidRDefault="004E3EAA" w:rsidP="00023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EUAlbertina">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F24" w:rsidRPr="000B0F24" w:rsidRDefault="000B0F24" w:rsidP="000B0F24">
    <w:pPr>
      <w:pStyle w:val="Footer"/>
      <w:rPr>
        <w:rFonts w:ascii="Times New Roman" w:hAnsi="Times New Roman" w:cs="Times New Roman"/>
        <w:sz w:val="20"/>
        <w:szCs w:val="20"/>
      </w:rPr>
    </w:pPr>
    <w:r w:rsidRPr="000B0F24">
      <w:rPr>
        <w:rFonts w:ascii="Times New Roman" w:hAnsi="Times New Roman" w:cs="Times New Roman"/>
        <w:sz w:val="20"/>
        <w:szCs w:val="20"/>
      </w:rPr>
      <w:t>EMZin_180615_IKP_PV; Informatīvais ziņojums „Par rādītāju – republikas pilsētu iekšzemes kopprodukts un pievienotā vērtība – iegūšanas iespējām un šādas informācijas iegūšanas nodrošināšanai nepieciešamo finansējumu”</w:t>
    </w:r>
  </w:p>
  <w:p w:rsidR="000B0F24" w:rsidRDefault="000B0F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525" w:rsidRPr="000B0F24" w:rsidRDefault="003E3525">
    <w:pPr>
      <w:pStyle w:val="Footer"/>
      <w:rPr>
        <w:rFonts w:ascii="Times New Roman" w:hAnsi="Times New Roman" w:cs="Times New Roman"/>
        <w:sz w:val="20"/>
        <w:szCs w:val="20"/>
      </w:rPr>
    </w:pPr>
    <w:r w:rsidRPr="000B0F24">
      <w:rPr>
        <w:rFonts w:ascii="Times New Roman" w:hAnsi="Times New Roman" w:cs="Times New Roman"/>
        <w:sz w:val="20"/>
        <w:szCs w:val="20"/>
      </w:rPr>
      <w:t>EMZin_180615_IKP_PV; Informatīvais ziņojums „Par rādītāju – republikas pilsētu iekšzemes kopprodukts un pievienotā vērtība – iegūšanas iespējām un šādas informācijas</w:t>
    </w:r>
    <w:r w:rsidR="000B0F24" w:rsidRPr="000B0F24">
      <w:rPr>
        <w:rFonts w:ascii="Times New Roman" w:hAnsi="Times New Roman" w:cs="Times New Roman"/>
        <w:sz w:val="20"/>
        <w:szCs w:val="20"/>
      </w:rPr>
      <w:t xml:space="preserve"> iegūšanas nodrošināšanai nepieciešamo finansējumu</w:t>
    </w:r>
    <w:r w:rsidRPr="000B0F24">
      <w:rPr>
        <w:rFonts w:ascii="Times New Roman" w:hAnsi="Times New Roman" w:cs="Times New Roman"/>
        <w:sz w:val="20"/>
        <w:szCs w:val="20"/>
      </w:rPr>
      <w:t>”</w:t>
    </w:r>
  </w:p>
  <w:p w:rsidR="003E3525" w:rsidRDefault="003E35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EAA" w:rsidRDefault="004E3EAA" w:rsidP="00023982">
      <w:pPr>
        <w:spacing w:after="0" w:line="240" w:lineRule="auto"/>
      </w:pPr>
      <w:r>
        <w:separator/>
      </w:r>
    </w:p>
  </w:footnote>
  <w:footnote w:type="continuationSeparator" w:id="0">
    <w:p w:rsidR="004E3EAA" w:rsidRDefault="004E3EAA" w:rsidP="00023982">
      <w:pPr>
        <w:spacing w:after="0" w:line="240" w:lineRule="auto"/>
      </w:pPr>
      <w:r>
        <w:continuationSeparator/>
      </w:r>
    </w:p>
  </w:footnote>
  <w:footnote w:id="1">
    <w:p w:rsidR="00D32337" w:rsidRPr="0054754E" w:rsidRDefault="00D32337" w:rsidP="0054754E">
      <w:pPr>
        <w:pStyle w:val="FootnoteText"/>
        <w:ind w:left="142" w:hanging="142"/>
        <w:jc w:val="both"/>
        <w:rPr>
          <w:rFonts w:ascii="Times New Roman" w:hAnsi="Times New Roman" w:cs="Times New Roman"/>
        </w:rPr>
      </w:pPr>
      <w:r w:rsidRPr="0054754E">
        <w:rPr>
          <w:rStyle w:val="FootnoteReference"/>
          <w:rFonts w:ascii="Times New Roman" w:hAnsi="Times New Roman" w:cs="Times New Roman"/>
        </w:rPr>
        <w:footnoteRef/>
      </w:r>
      <w:r w:rsidRPr="0054754E">
        <w:rPr>
          <w:rFonts w:ascii="Times New Roman" w:hAnsi="Times New Roman" w:cs="Times New Roman"/>
        </w:rPr>
        <w:t xml:space="preserve"> 2014.gada 16.decembra Ministru Kabineta noteikumi Nr.767 „Noteikumi par Valsts statistiskās informācijas programmu 2015.gadam”</w:t>
      </w:r>
    </w:p>
  </w:footnote>
  <w:footnote w:id="2">
    <w:p w:rsidR="00D32337" w:rsidRPr="0054754E" w:rsidRDefault="00D32337" w:rsidP="0054754E">
      <w:pPr>
        <w:pStyle w:val="FootnoteText"/>
        <w:ind w:left="142" w:hanging="142"/>
        <w:jc w:val="both"/>
        <w:rPr>
          <w:rFonts w:ascii="Times New Roman" w:hAnsi="Times New Roman" w:cs="Times New Roman"/>
        </w:rPr>
      </w:pPr>
      <w:r w:rsidRPr="0054754E">
        <w:rPr>
          <w:rStyle w:val="FootnoteReference"/>
          <w:rFonts w:ascii="Times New Roman" w:hAnsi="Times New Roman" w:cs="Times New Roman"/>
        </w:rPr>
        <w:footnoteRef/>
      </w:r>
      <w:r w:rsidRPr="0054754E">
        <w:rPr>
          <w:rFonts w:ascii="Times New Roman" w:hAnsi="Times New Roman" w:cs="Times New Roman"/>
        </w:rPr>
        <w:t xml:space="preserve"> Eiropas Parlamenta un Padomes regula (ES) Nr.549/2013 (2013.gada 21.maijs) par Eiropas nacionālo un reģionālo kontu sistēmu Eiropas Savienībā</w:t>
      </w:r>
    </w:p>
  </w:footnote>
  <w:footnote w:id="3">
    <w:p w:rsidR="00D32337" w:rsidRPr="0054754E" w:rsidRDefault="00D32337" w:rsidP="0054754E">
      <w:pPr>
        <w:pStyle w:val="FootnoteText"/>
        <w:ind w:left="142" w:hanging="142"/>
        <w:jc w:val="both"/>
        <w:rPr>
          <w:rFonts w:ascii="Times New Roman" w:hAnsi="Times New Roman" w:cs="Times New Roman"/>
        </w:rPr>
      </w:pPr>
      <w:r w:rsidRPr="0054754E">
        <w:rPr>
          <w:rStyle w:val="FootnoteReference"/>
          <w:rFonts w:ascii="Times New Roman" w:hAnsi="Times New Roman" w:cs="Times New Roman"/>
        </w:rPr>
        <w:footnoteRef/>
      </w:r>
      <w:r w:rsidRPr="0054754E">
        <w:rPr>
          <w:rFonts w:ascii="Times New Roman" w:hAnsi="Times New Roman" w:cs="Times New Roman"/>
        </w:rPr>
        <w:t xml:space="preserve"> Eiropas Parlamenta un Padomes Regula (EK) Nr.1059/2003</w:t>
      </w:r>
      <w:r>
        <w:rPr>
          <w:rFonts w:ascii="Times New Roman" w:hAnsi="Times New Roman" w:cs="Times New Roman"/>
        </w:rPr>
        <w:t xml:space="preserve"> (</w:t>
      </w:r>
      <w:r w:rsidRPr="0054754E">
        <w:rPr>
          <w:rFonts w:ascii="Times New Roman" w:hAnsi="Times New Roman" w:cs="Times New Roman"/>
        </w:rPr>
        <w:t>2003.gada 26.mai</w:t>
      </w:r>
      <w:r>
        <w:rPr>
          <w:rFonts w:ascii="Times New Roman" w:hAnsi="Times New Roman" w:cs="Times New Roman"/>
        </w:rPr>
        <w:t>js)</w:t>
      </w:r>
      <w:r w:rsidRPr="0054754E">
        <w:rPr>
          <w:rFonts w:ascii="Times New Roman" w:hAnsi="Times New Roman" w:cs="Times New Roman"/>
        </w:rPr>
        <w:t xml:space="preserve"> par kopējas statistiski teritoriālo vienību klasifikācijas (NUTS) izveidi</w:t>
      </w:r>
    </w:p>
  </w:footnote>
  <w:footnote w:id="4">
    <w:p w:rsidR="00D32337" w:rsidRPr="00432D35" w:rsidRDefault="00D32337" w:rsidP="00201226">
      <w:pPr>
        <w:pStyle w:val="FootnoteText"/>
        <w:ind w:left="142" w:hanging="142"/>
        <w:jc w:val="both"/>
        <w:rPr>
          <w:rFonts w:ascii="Times New Roman" w:hAnsi="Times New Roman" w:cs="Times New Roman"/>
        </w:rPr>
      </w:pPr>
      <w:r w:rsidRPr="0054754E">
        <w:rPr>
          <w:rStyle w:val="FootnoteReference"/>
          <w:rFonts w:ascii="Times New Roman" w:hAnsi="Times New Roman" w:cs="Times New Roman"/>
        </w:rPr>
        <w:footnoteRef/>
      </w:r>
      <w:r>
        <w:rPr>
          <w:rFonts w:ascii="Times New Roman" w:hAnsi="Times New Roman" w:cs="Times New Roman"/>
        </w:rPr>
        <w:t xml:space="preserve"> </w:t>
      </w:r>
      <w:r w:rsidRPr="0054754E">
        <w:rPr>
          <w:rFonts w:ascii="Times New Roman" w:hAnsi="Times New Roman" w:cs="Times New Roman"/>
        </w:rPr>
        <w:t>Eiropas Parlamenta un Padomes Regula (EK) Nr.1893/2006</w:t>
      </w:r>
      <w:r>
        <w:rPr>
          <w:rFonts w:ascii="Times New Roman" w:hAnsi="Times New Roman" w:cs="Times New Roman"/>
        </w:rPr>
        <w:t xml:space="preserve"> (2006.gada 20.decembris)</w:t>
      </w:r>
      <w:r w:rsidRPr="0054754E">
        <w:rPr>
          <w:rFonts w:ascii="Times New Roman" w:hAnsi="Times New Roman" w:cs="Times New Roman"/>
        </w:rPr>
        <w:t>, ar ko izveido NACE 2.red. saimniecisko darbību statistisko klasifikāciju, kā arī groza Padomes Regulu (EEK) Nr.3037/90 un dažas EK regulas par īpašām statistikas jomām</w:t>
      </w:r>
    </w:p>
  </w:footnote>
  <w:footnote w:id="5">
    <w:p w:rsidR="00D32337" w:rsidRPr="0054754E" w:rsidRDefault="00D32337" w:rsidP="0054754E">
      <w:pPr>
        <w:pStyle w:val="FootnoteText"/>
        <w:jc w:val="both"/>
        <w:rPr>
          <w:rFonts w:ascii="Times New Roman" w:hAnsi="Times New Roman" w:cs="Times New Roman"/>
        </w:rPr>
      </w:pPr>
      <w:r w:rsidRPr="0054754E">
        <w:rPr>
          <w:rStyle w:val="FootnoteReference"/>
          <w:rFonts w:ascii="Times New Roman" w:hAnsi="Times New Roman" w:cs="Times New Roman"/>
        </w:rPr>
        <w:footnoteRef/>
      </w:r>
      <w:r w:rsidRPr="0054754E">
        <w:rPr>
          <w:rFonts w:ascii="Times New Roman" w:hAnsi="Times New Roman" w:cs="Times New Roman"/>
        </w:rPr>
        <w:t xml:space="preserve"> http://ec.europa.eu/eurostat/en/web/products-manuals-and-guidelines/-/KS-GQ-13-001</w:t>
      </w:r>
    </w:p>
  </w:footnote>
  <w:footnote w:id="6">
    <w:p w:rsidR="00D32337" w:rsidRDefault="00D32337">
      <w:pPr>
        <w:pStyle w:val="FootnoteText"/>
      </w:pPr>
      <w:r>
        <w:rPr>
          <w:rStyle w:val="FootnoteReference"/>
        </w:rPr>
        <w:footnoteRef/>
      </w:r>
      <w:r>
        <w:t xml:space="preserve"> </w:t>
      </w:r>
      <w:r w:rsidRPr="00845220">
        <w:rPr>
          <w:rFonts w:ascii="Times New Roman" w:hAnsi="Times New Roman" w:cs="Times New Roman"/>
        </w:rPr>
        <w:t>Vietējās darbības veida vienības</w:t>
      </w:r>
      <w:r>
        <w:rPr>
          <w:rFonts w:ascii="Times New Roman" w:hAnsi="Times New Roman" w:cs="Times New Roman"/>
        </w:rPr>
        <w:t xml:space="preserve"> (VDVV)</w:t>
      </w:r>
      <w:r w:rsidRPr="00845220">
        <w:rPr>
          <w:rFonts w:ascii="Times New Roman" w:hAnsi="Times New Roman" w:cs="Times New Roman"/>
        </w:rPr>
        <w:t xml:space="preserve"> ir darbības veida vienību</w:t>
      </w:r>
      <w:r>
        <w:rPr>
          <w:rFonts w:ascii="Times New Roman" w:hAnsi="Times New Roman" w:cs="Times New Roman"/>
        </w:rPr>
        <w:t xml:space="preserve"> (DVV)</w:t>
      </w:r>
      <w:r w:rsidRPr="00845220">
        <w:rPr>
          <w:rFonts w:ascii="Times New Roman" w:hAnsi="Times New Roman" w:cs="Times New Roman"/>
        </w:rPr>
        <w:t xml:space="preserve"> sadalījums pēc adreses un nodarbināto skaita.</w:t>
      </w:r>
      <w:r>
        <w:rPr>
          <w:rFonts w:ascii="Times New Roman" w:hAnsi="Times New Roman" w:cs="Times New Roman"/>
        </w:rPr>
        <w:t xml:space="preserve"> Darbības veida vienība </w:t>
      </w:r>
      <w:r w:rsidRPr="0073285F">
        <w:rPr>
          <w:rFonts w:ascii="Times New Roman" w:hAnsi="Times New Roman" w:cs="Times New Roman"/>
        </w:rPr>
        <w:t>apvieno visas uzņēmuma daļas, kuras veic vai palīdz veikt saimniecisko darbību NACE 2.red. klases (4-zīmju) līmenī, un atbilst vienai vai vairākām uzņēmuma operatīvajām apakšnodaļām.</w:t>
      </w:r>
    </w:p>
  </w:footnote>
  <w:footnote w:id="7">
    <w:p w:rsidR="00D32337" w:rsidRPr="00046A7C" w:rsidRDefault="00D32337" w:rsidP="0054754E">
      <w:pPr>
        <w:pStyle w:val="FootnoteText"/>
        <w:ind w:left="142" w:hanging="142"/>
        <w:jc w:val="both"/>
        <w:rPr>
          <w:rFonts w:cs="Times New Roman"/>
        </w:rPr>
      </w:pPr>
      <w:r w:rsidRPr="0054754E">
        <w:rPr>
          <w:rStyle w:val="FootnoteReference"/>
          <w:rFonts w:ascii="Times New Roman" w:hAnsi="Times New Roman" w:cs="Times New Roman"/>
        </w:rPr>
        <w:footnoteRef/>
      </w:r>
      <w:r w:rsidRPr="0054754E">
        <w:rPr>
          <w:rFonts w:ascii="Times New Roman" w:hAnsi="Times New Roman" w:cs="Times New Roman"/>
        </w:rPr>
        <w:t xml:space="preserve"> Eiropas Parlamenta un Padomes Regula (EK) Nr.177/2008 (2008.gada 20.februāris), ar ko izveido kopēju </w:t>
      </w:r>
      <w:proofErr w:type="gramStart"/>
      <w:r w:rsidRPr="0054754E">
        <w:rPr>
          <w:rFonts w:ascii="Times New Roman" w:hAnsi="Times New Roman" w:cs="Times New Roman"/>
        </w:rPr>
        <w:t>uzņēmumu reģistru</w:t>
      </w:r>
      <w:proofErr w:type="gramEnd"/>
      <w:r w:rsidRPr="0054754E">
        <w:rPr>
          <w:rFonts w:ascii="Times New Roman" w:hAnsi="Times New Roman" w:cs="Times New Roman"/>
        </w:rPr>
        <w:t xml:space="preserve"> sistēmu statistikas vajadzībām un atceļ Padomes Regulu (EEK) Nr.2186/93</w:t>
      </w:r>
    </w:p>
  </w:footnote>
  <w:footnote w:id="8">
    <w:p w:rsidR="00D32337" w:rsidRDefault="00D32337">
      <w:pPr>
        <w:pStyle w:val="FootnoteText"/>
      </w:pPr>
      <w:r>
        <w:rPr>
          <w:rStyle w:val="FootnoteReference"/>
        </w:rPr>
        <w:footnoteRef/>
      </w:r>
      <w:r>
        <w:t xml:space="preserve"> </w:t>
      </w:r>
      <w:r w:rsidRPr="002C6A4D">
        <w:rPr>
          <w:rFonts w:ascii="Times New Roman" w:hAnsi="Times New Roman" w:cs="Times New Roman"/>
        </w:rPr>
        <w:t>Vietējā vienība (VV) ir uzņēmums vai tā daļa, kas atrodas ģeogrāfiski identificētā vietā.</w:t>
      </w:r>
    </w:p>
  </w:footnote>
  <w:footnote w:id="9">
    <w:p w:rsidR="00D32337" w:rsidRDefault="00D32337">
      <w:pPr>
        <w:pStyle w:val="FootnoteText"/>
      </w:pPr>
      <w:r>
        <w:rPr>
          <w:rStyle w:val="FootnoteReference"/>
        </w:rPr>
        <w:footnoteRef/>
      </w:r>
      <w:r>
        <w:t xml:space="preserve"> </w:t>
      </w:r>
      <w:r w:rsidRPr="005D7488">
        <w:rPr>
          <w:rFonts w:ascii="Times New Roman" w:hAnsi="Times New Roman" w:cs="Times New Roman"/>
        </w:rPr>
        <w:t xml:space="preserve">Tekstā lietotās vienību definīcijas ir </w:t>
      </w:r>
      <w:r>
        <w:rPr>
          <w:rFonts w:ascii="Times New Roman" w:hAnsi="Times New Roman" w:cs="Times New Roman"/>
        </w:rPr>
        <w:t xml:space="preserve">Padomes Regulas Nr.696/93 </w:t>
      </w:r>
      <w:r w:rsidR="00E918C1">
        <w:rPr>
          <w:rFonts w:ascii="Times New Roman" w:hAnsi="Times New Roman" w:cs="Times New Roman"/>
        </w:rPr>
        <w:t>p</w:t>
      </w:r>
      <w:r w:rsidRPr="005D7488">
        <w:rPr>
          <w:rFonts w:ascii="Times New Roman" w:hAnsi="Times New Roman" w:cs="Times New Roman"/>
        </w:rPr>
        <w:t>ar </w:t>
      </w:r>
      <w:hyperlink r:id="rId1" w:history="1">
        <w:r w:rsidRPr="005D7488">
          <w:rPr>
            <w:rFonts w:ascii="Times New Roman" w:hAnsi="Times New Roman" w:cs="Times New Roman"/>
          </w:rPr>
          <w:t>statistikas</w:t>
        </w:r>
      </w:hyperlink>
      <w:r w:rsidRPr="005D7488">
        <w:rPr>
          <w:rFonts w:ascii="Times New Roman" w:hAnsi="Times New Roman" w:cs="Times New Roman"/>
        </w:rPr>
        <w:t> vienībām </w:t>
      </w:r>
      <w:hyperlink r:id="rId2" w:history="1">
        <w:r w:rsidRPr="005D7488">
          <w:rPr>
            <w:rFonts w:ascii="Times New Roman" w:hAnsi="Times New Roman" w:cs="Times New Roman"/>
          </w:rPr>
          <w:t>ražošanas</w:t>
        </w:r>
      </w:hyperlink>
      <w:r w:rsidRPr="005D7488">
        <w:rPr>
          <w:rFonts w:ascii="Times New Roman" w:hAnsi="Times New Roman" w:cs="Times New Roman"/>
        </w:rPr>
        <w:t> sistēmas </w:t>
      </w:r>
      <w:hyperlink r:id="rId3" w:history="1">
        <w:r w:rsidRPr="005D7488">
          <w:rPr>
            <w:rFonts w:ascii="Times New Roman" w:hAnsi="Times New Roman" w:cs="Times New Roman"/>
          </w:rPr>
          <w:t>novērošanai</w:t>
        </w:r>
      </w:hyperlink>
      <w:r w:rsidRPr="005D7488">
        <w:rPr>
          <w:rFonts w:ascii="Times New Roman" w:hAnsi="Times New Roman" w:cs="Times New Roman"/>
        </w:rPr>
        <w:t> un analīzei Kopienā izpratnē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762062"/>
      <w:docPartObj>
        <w:docPartGallery w:val="Page Numbers (Top of Page)"/>
        <w:docPartUnique/>
      </w:docPartObj>
    </w:sdtPr>
    <w:sdtEndPr>
      <w:rPr>
        <w:rFonts w:ascii="Times New Roman" w:hAnsi="Times New Roman" w:cs="Times New Roman"/>
        <w:noProof/>
        <w:sz w:val="24"/>
        <w:szCs w:val="24"/>
      </w:rPr>
    </w:sdtEndPr>
    <w:sdtContent>
      <w:p w:rsidR="00D32337" w:rsidRPr="008A7634" w:rsidRDefault="00D32337">
        <w:pPr>
          <w:pStyle w:val="Header"/>
          <w:jc w:val="center"/>
          <w:rPr>
            <w:rFonts w:ascii="Times New Roman" w:hAnsi="Times New Roman" w:cs="Times New Roman"/>
            <w:sz w:val="24"/>
            <w:szCs w:val="24"/>
          </w:rPr>
        </w:pPr>
        <w:r w:rsidRPr="008A7634">
          <w:rPr>
            <w:rFonts w:ascii="Times New Roman" w:hAnsi="Times New Roman" w:cs="Times New Roman"/>
            <w:sz w:val="24"/>
            <w:szCs w:val="24"/>
          </w:rPr>
          <w:fldChar w:fldCharType="begin"/>
        </w:r>
        <w:r w:rsidRPr="008A7634">
          <w:rPr>
            <w:rFonts w:ascii="Times New Roman" w:hAnsi="Times New Roman" w:cs="Times New Roman"/>
            <w:sz w:val="24"/>
            <w:szCs w:val="24"/>
          </w:rPr>
          <w:instrText xml:space="preserve"> PAGE   \* MERGEFORMAT </w:instrText>
        </w:r>
        <w:r w:rsidRPr="008A7634">
          <w:rPr>
            <w:rFonts w:ascii="Times New Roman" w:hAnsi="Times New Roman" w:cs="Times New Roman"/>
            <w:sz w:val="24"/>
            <w:szCs w:val="24"/>
          </w:rPr>
          <w:fldChar w:fldCharType="separate"/>
        </w:r>
        <w:r w:rsidR="00641C94">
          <w:rPr>
            <w:rFonts w:ascii="Times New Roman" w:hAnsi="Times New Roman" w:cs="Times New Roman"/>
            <w:noProof/>
            <w:sz w:val="24"/>
            <w:szCs w:val="24"/>
          </w:rPr>
          <w:t>10</w:t>
        </w:r>
        <w:r w:rsidRPr="008A7634">
          <w:rPr>
            <w:rFonts w:ascii="Times New Roman" w:hAnsi="Times New Roman" w:cs="Times New Roman"/>
            <w:noProof/>
            <w:sz w:val="24"/>
            <w:szCs w:val="24"/>
          </w:rPr>
          <w:fldChar w:fldCharType="end"/>
        </w:r>
      </w:p>
    </w:sdtContent>
  </w:sdt>
  <w:p w:rsidR="00D32337" w:rsidRDefault="00D323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52757"/>
    <w:multiLevelType w:val="hybridMultilevel"/>
    <w:tmpl w:val="E326CB1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nsid w:val="17704907"/>
    <w:multiLevelType w:val="hybridMultilevel"/>
    <w:tmpl w:val="A934A2AE"/>
    <w:lvl w:ilvl="0" w:tplc="04260011">
      <w:start w:val="1"/>
      <w:numFmt w:val="decimal"/>
      <w:lvlText w:val="%1)"/>
      <w:lvlJc w:val="left"/>
      <w:pPr>
        <w:ind w:left="785" w:hanging="360"/>
      </w:pPr>
    </w:lvl>
    <w:lvl w:ilvl="1" w:tplc="04260011">
      <w:start w:val="1"/>
      <w:numFmt w:val="decimal"/>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2594518D"/>
    <w:multiLevelType w:val="hybridMultilevel"/>
    <w:tmpl w:val="9CF605C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
    <w:nsid w:val="358908EA"/>
    <w:multiLevelType w:val="hybridMultilevel"/>
    <w:tmpl w:val="4D0083FE"/>
    <w:lvl w:ilvl="0" w:tplc="04260001">
      <w:start w:val="1"/>
      <w:numFmt w:val="bullet"/>
      <w:lvlText w:val=""/>
      <w:lvlJc w:val="left"/>
      <w:pPr>
        <w:ind w:left="1505" w:hanging="360"/>
      </w:pPr>
      <w:rPr>
        <w:rFonts w:ascii="Symbol" w:hAnsi="Symbol" w:hint="default"/>
      </w:rPr>
    </w:lvl>
    <w:lvl w:ilvl="1" w:tplc="04260019">
      <w:start w:val="1"/>
      <w:numFmt w:val="lowerLetter"/>
      <w:lvlText w:val="%2."/>
      <w:lvlJc w:val="left"/>
      <w:pPr>
        <w:ind w:left="2225" w:hanging="360"/>
      </w:pPr>
    </w:lvl>
    <w:lvl w:ilvl="2" w:tplc="0426001B" w:tentative="1">
      <w:start w:val="1"/>
      <w:numFmt w:val="lowerRoman"/>
      <w:lvlText w:val="%3."/>
      <w:lvlJc w:val="right"/>
      <w:pPr>
        <w:ind w:left="2945" w:hanging="180"/>
      </w:pPr>
    </w:lvl>
    <w:lvl w:ilvl="3" w:tplc="0426000F" w:tentative="1">
      <w:start w:val="1"/>
      <w:numFmt w:val="decimal"/>
      <w:lvlText w:val="%4."/>
      <w:lvlJc w:val="left"/>
      <w:pPr>
        <w:ind w:left="3665" w:hanging="360"/>
      </w:pPr>
    </w:lvl>
    <w:lvl w:ilvl="4" w:tplc="04260019" w:tentative="1">
      <w:start w:val="1"/>
      <w:numFmt w:val="lowerLetter"/>
      <w:lvlText w:val="%5."/>
      <w:lvlJc w:val="left"/>
      <w:pPr>
        <w:ind w:left="4385" w:hanging="360"/>
      </w:pPr>
    </w:lvl>
    <w:lvl w:ilvl="5" w:tplc="0426001B" w:tentative="1">
      <w:start w:val="1"/>
      <w:numFmt w:val="lowerRoman"/>
      <w:lvlText w:val="%6."/>
      <w:lvlJc w:val="right"/>
      <w:pPr>
        <w:ind w:left="5105" w:hanging="180"/>
      </w:pPr>
    </w:lvl>
    <w:lvl w:ilvl="6" w:tplc="0426000F" w:tentative="1">
      <w:start w:val="1"/>
      <w:numFmt w:val="decimal"/>
      <w:lvlText w:val="%7."/>
      <w:lvlJc w:val="left"/>
      <w:pPr>
        <w:ind w:left="5825" w:hanging="360"/>
      </w:pPr>
    </w:lvl>
    <w:lvl w:ilvl="7" w:tplc="04260019" w:tentative="1">
      <w:start w:val="1"/>
      <w:numFmt w:val="lowerLetter"/>
      <w:lvlText w:val="%8."/>
      <w:lvlJc w:val="left"/>
      <w:pPr>
        <w:ind w:left="6545" w:hanging="360"/>
      </w:pPr>
    </w:lvl>
    <w:lvl w:ilvl="8" w:tplc="0426001B" w:tentative="1">
      <w:start w:val="1"/>
      <w:numFmt w:val="lowerRoman"/>
      <w:lvlText w:val="%9."/>
      <w:lvlJc w:val="right"/>
      <w:pPr>
        <w:ind w:left="7265" w:hanging="180"/>
      </w:pPr>
    </w:lvl>
  </w:abstractNum>
  <w:abstractNum w:abstractNumId="4">
    <w:nsid w:val="415E79B1"/>
    <w:multiLevelType w:val="hybridMultilevel"/>
    <w:tmpl w:val="79DEB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D955D3"/>
    <w:multiLevelType w:val="hybridMultilevel"/>
    <w:tmpl w:val="A6602FF8"/>
    <w:lvl w:ilvl="0" w:tplc="0426000F">
      <w:start w:val="1"/>
      <w:numFmt w:val="decimal"/>
      <w:lvlText w:val="%1."/>
      <w:lvlJc w:val="left"/>
      <w:pPr>
        <w:ind w:left="720" w:hanging="360"/>
      </w:pPr>
      <w:rPr>
        <w:rFonts w:hint="default"/>
      </w:rPr>
    </w:lvl>
    <w:lvl w:ilvl="1" w:tplc="04260011">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301255E"/>
    <w:multiLevelType w:val="hybridMultilevel"/>
    <w:tmpl w:val="A608F3AE"/>
    <w:lvl w:ilvl="0" w:tplc="534E5F08">
      <w:start w:val="3"/>
      <w:numFmt w:val="bullet"/>
      <w:lvlText w:val="-"/>
      <w:lvlJc w:val="left"/>
      <w:pPr>
        <w:ind w:left="927" w:hanging="360"/>
      </w:pPr>
      <w:rPr>
        <w:rFonts w:ascii="Times New Roman" w:eastAsiaTheme="minorHAnsi"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58AA3A1B"/>
    <w:multiLevelType w:val="hybridMultilevel"/>
    <w:tmpl w:val="24961322"/>
    <w:lvl w:ilvl="0" w:tplc="5BA89C40">
      <w:start w:val="1"/>
      <w:numFmt w:val="decimal"/>
      <w:lvlText w:val="%1."/>
      <w:lvlJc w:val="left"/>
      <w:pPr>
        <w:ind w:left="644" w:hanging="360"/>
      </w:pPr>
      <w:rPr>
        <w:rFonts w:ascii="Times New Roman" w:eastAsia="Times New Roman" w:hAnsi="Times New Roman" w:cs="Times New Roman" w:hint="default"/>
        <w:color w:val="2A2A2A"/>
      </w:rPr>
    </w:lvl>
    <w:lvl w:ilvl="1" w:tplc="04260011">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B7E3679"/>
    <w:multiLevelType w:val="hybridMultilevel"/>
    <w:tmpl w:val="AB28CDDE"/>
    <w:lvl w:ilvl="0" w:tplc="43A0AA82">
      <w:start w:val="1"/>
      <w:numFmt w:val="decimal"/>
      <w:lvlText w:val="%1)"/>
      <w:lvlJc w:val="left"/>
      <w:pPr>
        <w:tabs>
          <w:tab w:val="num" w:pos="720"/>
        </w:tabs>
        <w:ind w:left="720" w:hanging="360"/>
      </w:pPr>
      <w:rPr>
        <w:rFonts w:hint="default"/>
      </w:rPr>
    </w:lvl>
    <w:lvl w:ilvl="1" w:tplc="6882DE18">
      <w:start w:val="1"/>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687F2184"/>
    <w:multiLevelType w:val="hybridMultilevel"/>
    <w:tmpl w:val="07EA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8872A6"/>
    <w:multiLevelType w:val="hybridMultilevel"/>
    <w:tmpl w:val="9D1CC38A"/>
    <w:lvl w:ilvl="0" w:tplc="0426000F">
      <w:start w:val="1"/>
      <w:numFmt w:val="decimal"/>
      <w:lvlText w:val="%1."/>
      <w:lvlJc w:val="left"/>
      <w:pPr>
        <w:tabs>
          <w:tab w:val="num" w:pos="360"/>
        </w:tabs>
        <w:ind w:left="360" w:hanging="360"/>
      </w:pPr>
      <w:rPr>
        <w:rFont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F">
      <w:start w:val="1"/>
      <w:numFmt w:val="decimal"/>
      <w:lvlText w:val="%4."/>
      <w:lvlJc w:val="left"/>
      <w:pPr>
        <w:tabs>
          <w:tab w:val="num" w:pos="2880"/>
        </w:tabs>
        <w:ind w:left="2880" w:hanging="360"/>
      </w:pPr>
      <w:rPr>
        <w:rFonts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7909143C"/>
    <w:multiLevelType w:val="hybridMultilevel"/>
    <w:tmpl w:val="37D8D3F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9"/>
  </w:num>
  <w:num w:numId="5">
    <w:abstractNumId w:val="0"/>
  </w:num>
  <w:num w:numId="6">
    <w:abstractNumId w:val="2"/>
  </w:num>
  <w:num w:numId="7">
    <w:abstractNumId w:val="6"/>
  </w:num>
  <w:num w:numId="8">
    <w:abstractNumId w:val="10"/>
  </w:num>
  <w:num w:numId="9">
    <w:abstractNumId w:val="11"/>
  </w:num>
  <w:num w:numId="10">
    <w:abstractNumId w:val="5"/>
  </w:num>
  <w:num w:numId="11">
    <w:abstractNumId w:val="1"/>
  </w:num>
  <w:num w:numId="1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CE"/>
    <w:rsid w:val="000000F9"/>
    <w:rsid w:val="000020A0"/>
    <w:rsid w:val="0000304E"/>
    <w:rsid w:val="0000622A"/>
    <w:rsid w:val="00010FD8"/>
    <w:rsid w:val="00014B7E"/>
    <w:rsid w:val="00015F33"/>
    <w:rsid w:val="0002039E"/>
    <w:rsid w:val="00023154"/>
    <w:rsid w:val="00023982"/>
    <w:rsid w:val="00026530"/>
    <w:rsid w:val="000269F5"/>
    <w:rsid w:val="00026D80"/>
    <w:rsid w:val="00026F6E"/>
    <w:rsid w:val="00030648"/>
    <w:rsid w:val="00030C2C"/>
    <w:rsid w:val="00030EFA"/>
    <w:rsid w:val="000415A1"/>
    <w:rsid w:val="0004203B"/>
    <w:rsid w:val="00046A7C"/>
    <w:rsid w:val="00047F29"/>
    <w:rsid w:val="00047F67"/>
    <w:rsid w:val="00051E21"/>
    <w:rsid w:val="00052126"/>
    <w:rsid w:val="00052F47"/>
    <w:rsid w:val="000616B5"/>
    <w:rsid w:val="00061CF3"/>
    <w:rsid w:val="00063F83"/>
    <w:rsid w:val="00066979"/>
    <w:rsid w:val="00071F1E"/>
    <w:rsid w:val="0007769C"/>
    <w:rsid w:val="00077FB7"/>
    <w:rsid w:val="00080F7D"/>
    <w:rsid w:val="000817A4"/>
    <w:rsid w:val="00083447"/>
    <w:rsid w:val="00083626"/>
    <w:rsid w:val="0008716F"/>
    <w:rsid w:val="00093A81"/>
    <w:rsid w:val="00094AA8"/>
    <w:rsid w:val="00097B22"/>
    <w:rsid w:val="000A21F3"/>
    <w:rsid w:val="000A26D3"/>
    <w:rsid w:val="000A2EA4"/>
    <w:rsid w:val="000A7F73"/>
    <w:rsid w:val="000B0F18"/>
    <w:rsid w:val="000B0F24"/>
    <w:rsid w:val="000B5846"/>
    <w:rsid w:val="000C3181"/>
    <w:rsid w:val="000C48E6"/>
    <w:rsid w:val="000C75A4"/>
    <w:rsid w:val="000C7AFB"/>
    <w:rsid w:val="000D01B0"/>
    <w:rsid w:val="000D1607"/>
    <w:rsid w:val="000D1EA8"/>
    <w:rsid w:val="000D3A93"/>
    <w:rsid w:val="000D55D9"/>
    <w:rsid w:val="000D7358"/>
    <w:rsid w:val="000D7EB9"/>
    <w:rsid w:val="000E013F"/>
    <w:rsid w:val="000E1260"/>
    <w:rsid w:val="000E1C56"/>
    <w:rsid w:val="000E3DAB"/>
    <w:rsid w:val="000E4F0D"/>
    <w:rsid w:val="000E5959"/>
    <w:rsid w:val="000E62BC"/>
    <w:rsid w:val="000F07DA"/>
    <w:rsid w:val="000F1CB2"/>
    <w:rsid w:val="000F3316"/>
    <w:rsid w:val="000F3E62"/>
    <w:rsid w:val="000F4424"/>
    <w:rsid w:val="000F66D7"/>
    <w:rsid w:val="00100DAB"/>
    <w:rsid w:val="00104F57"/>
    <w:rsid w:val="001066A3"/>
    <w:rsid w:val="0010688B"/>
    <w:rsid w:val="00107A4D"/>
    <w:rsid w:val="00112705"/>
    <w:rsid w:val="001130ED"/>
    <w:rsid w:val="00113580"/>
    <w:rsid w:val="00114146"/>
    <w:rsid w:val="001141F8"/>
    <w:rsid w:val="001170A2"/>
    <w:rsid w:val="00120902"/>
    <w:rsid w:val="00123363"/>
    <w:rsid w:val="00130AA0"/>
    <w:rsid w:val="001314CD"/>
    <w:rsid w:val="00133912"/>
    <w:rsid w:val="001344F4"/>
    <w:rsid w:val="00137D9D"/>
    <w:rsid w:val="00144693"/>
    <w:rsid w:val="001454B8"/>
    <w:rsid w:val="00145A41"/>
    <w:rsid w:val="001477F9"/>
    <w:rsid w:val="00147BAE"/>
    <w:rsid w:val="00152F31"/>
    <w:rsid w:val="001542FB"/>
    <w:rsid w:val="00154D09"/>
    <w:rsid w:val="001559A4"/>
    <w:rsid w:val="00155DCC"/>
    <w:rsid w:val="00157A11"/>
    <w:rsid w:val="00165CF1"/>
    <w:rsid w:val="0016630E"/>
    <w:rsid w:val="00170A43"/>
    <w:rsid w:val="0017170D"/>
    <w:rsid w:val="0017504B"/>
    <w:rsid w:val="00175721"/>
    <w:rsid w:val="00176FD0"/>
    <w:rsid w:val="001824C8"/>
    <w:rsid w:val="0018461F"/>
    <w:rsid w:val="00185DE0"/>
    <w:rsid w:val="00187079"/>
    <w:rsid w:val="00187A66"/>
    <w:rsid w:val="0019258F"/>
    <w:rsid w:val="0019473C"/>
    <w:rsid w:val="0019758A"/>
    <w:rsid w:val="001A0FCC"/>
    <w:rsid w:val="001A2AA5"/>
    <w:rsid w:val="001A45EB"/>
    <w:rsid w:val="001A4EF8"/>
    <w:rsid w:val="001A67EC"/>
    <w:rsid w:val="001A749A"/>
    <w:rsid w:val="001B225A"/>
    <w:rsid w:val="001B2BE4"/>
    <w:rsid w:val="001B32DA"/>
    <w:rsid w:val="001B3B86"/>
    <w:rsid w:val="001B41CB"/>
    <w:rsid w:val="001B4AC5"/>
    <w:rsid w:val="001B4C10"/>
    <w:rsid w:val="001B7188"/>
    <w:rsid w:val="001C0271"/>
    <w:rsid w:val="001C1C23"/>
    <w:rsid w:val="001C20C7"/>
    <w:rsid w:val="001C287B"/>
    <w:rsid w:val="001C2B41"/>
    <w:rsid w:val="001C31E3"/>
    <w:rsid w:val="001C3A77"/>
    <w:rsid w:val="001C68CE"/>
    <w:rsid w:val="001D17BD"/>
    <w:rsid w:val="001D34ED"/>
    <w:rsid w:val="001D35D8"/>
    <w:rsid w:val="001D51A0"/>
    <w:rsid w:val="001D64AE"/>
    <w:rsid w:val="001D7933"/>
    <w:rsid w:val="001E0BFA"/>
    <w:rsid w:val="001E11F2"/>
    <w:rsid w:val="001E1E99"/>
    <w:rsid w:val="001E604C"/>
    <w:rsid w:val="001E77AD"/>
    <w:rsid w:val="001E7E5D"/>
    <w:rsid w:val="001F1212"/>
    <w:rsid w:val="001F29BE"/>
    <w:rsid w:val="001F30B3"/>
    <w:rsid w:val="001F3BF4"/>
    <w:rsid w:val="001F53FC"/>
    <w:rsid w:val="001F6CD0"/>
    <w:rsid w:val="00201226"/>
    <w:rsid w:val="00201A20"/>
    <w:rsid w:val="00203E94"/>
    <w:rsid w:val="002072E5"/>
    <w:rsid w:val="00211EB4"/>
    <w:rsid w:val="00212400"/>
    <w:rsid w:val="0021322B"/>
    <w:rsid w:val="00213901"/>
    <w:rsid w:val="00216DD7"/>
    <w:rsid w:val="00217C39"/>
    <w:rsid w:val="00217CF8"/>
    <w:rsid w:val="002220F5"/>
    <w:rsid w:val="00222C74"/>
    <w:rsid w:val="00223D5C"/>
    <w:rsid w:val="00225141"/>
    <w:rsid w:val="00225314"/>
    <w:rsid w:val="00225561"/>
    <w:rsid w:val="0023012C"/>
    <w:rsid w:val="00243A12"/>
    <w:rsid w:val="00246EE3"/>
    <w:rsid w:val="00247183"/>
    <w:rsid w:val="002475C7"/>
    <w:rsid w:val="002534FE"/>
    <w:rsid w:val="002544C5"/>
    <w:rsid w:val="00255B17"/>
    <w:rsid w:val="0025718A"/>
    <w:rsid w:val="002623D7"/>
    <w:rsid w:val="00264A92"/>
    <w:rsid w:val="00264F4A"/>
    <w:rsid w:val="002651A3"/>
    <w:rsid w:val="00266E9F"/>
    <w:rsid w:val="0026702E"/>
    <w:rsid w:val="00272B78"/>
    <w:rsid w:val="00272DBF"/>
    <w:rsid w:val="0027373C"/>
    <w:rsid w:val="0027751B"/>
    <w:rsid w:val="00281F71"/>
    <w:rsid w:val="0029030E"/>
    <w:rsid w:val="00295B9D"/>
    <w:rsid w:val="002A154A"/>
    <w:rsid w:val="002A7A1B"/>
    <w:rsid w:val="002B0766"/>
    <w:rsid w:val="002B2093"/>
    <w:rsid w:val="002B335A"/>
    <w:rsid w:val="002B4D48"/>
    <w:rsid w:val="002B7D4E"/>
    <w:rsid w:val="002B7DC6"/>
    <w:rsid w:val="002C6A4D"/>
    <w:rsid w:val="002C6E32"/>
    <w:rsid w:val="002D160D"/>
    <w:rsid w:val="002D69D0"/>
    <w:rsid w:val="002E13EE"/>
    <w:rsid w:val="002E2557"/>
    <w:rsid w:val="002E2BD1"/>
    <w:rsid w:val="002E4270"/>
    <w:rsid w:val="002E588D"/>
    <w:rsid w:val="002E5F08"/>
    <w:rsid w:val="002F1690"/>
    <w:rsid w:val="002F5ACC"/>
    <w:rsid w:val="002F6406"/>
    <w:rsid w:val="00300381"/>
    <w:rsid w:val="00303F75"/>
    <w:rsid w:val="0031486C"/>
    <w:rsid w:val="00315299"/>
    <w:rsid w:val="00315A01"/>
    <w:rsid w:val="00316BC0"/>
    <w:rsid w:val="003172E6"/>
    <w:rsid w:val="00320B62"/>
    <w:rsid w:val="00321B06"/>
    <w:rsid w:val="003226C4"/>
    <w:rsid w:val="00324AC0"/>
    <w:rsid w:val="00330251"/>
    <w:rsid w:val="00330F80"/>
    <w:rsid w:val="00331B4C"/>
    <w:rsid w:val="00331E6D"/>
    <w:rsid w:val="00340B72"/>
    <w:rsid w:val="00341234"/>
    <w:rsid w:val="003416D1"/>
    <w:rsid w:val="00345441"/>
    <w:rsid w:val="003457A6"/>
    <w:rsid w:val="00345F7D"/>
    <w:rsid w:val="00347B54"/>
    <w:rsid w:val="00351668"/>
    <w:rsid w:val="00354508"/>
    <w:rsid w:val="00354C35"/>
    <w:rsid w:val="003563E0"/>
    <w:rsid w:val="0035673F"/>
    <w:rsid w:val="00362F3E"/>
    <w:rsid w:val="00362FA7"/>
    <w:rsid w:val="003707E8"/>
    <w:rsid w:val="003724BE"/>
    <w:rsid w:val="00372AD0"/>
    <w:rsid w:val="003734E0"/>
    <w:rsid w:val="00375C11"/>
    <w:rsid w:val="00376C69"/>
    <w:rsid w:val="00376D64"/>
    <w:rsid w:val="00380B24"/>
    <w:rsid w:val="00391AC9"/>
    <w:rsid w:val="00397646"/>
    <w:rsid w:val="003A0583"/>
    <w:rsid w:val="003A239B"/>
    <w:rsid w:val="003A322B"/>
    <w:rsid w:val="003A3237"/>
    <w:rsid w:val="003A539B"/>
    <w:rsid w:val="003A5412"/>
    <w:rsid w:val="003A59A5"/>
    <w:rsid w:val="003A7032"/>
    <w:rsid w:val="003B1556"/>
    <w:rsid w:val="003B34B8"/>
    <w:rsid w:val="003B4A70"/>
    <w:rsid w:val="003B7445"/>
    <w:rsid w:val="003C067C"/>
    <w:rsid w:val="003C1130"/>
    <w:rsid w:val="003C186A"/>
    <w:rsid w:val="003C49A7"/>
    <w:rsid w:val="003C723B"/>
    <w:rsid w:val="003D00B1"/>
    <w:rsid w:val="003D101F"/>
    <w:rsid w:val="003D2D0C"/>
    <w:rsid w:val="003D63DE"/>
    <w:rsid w:val="003E2AB1"/>
    <w:rsid w:val="003E3525"/>
    <w:rsid w:val="003E3612"/>
    <w:rsid w:val="003E5DB4"/>
    <w:rsid w:val="003E6017"/>
    <w:rsid w:val="003E7747"/>
    <w:rsid w:val="003F172D"/>
    <w:rsid w:val="003F2509"/>
    <w:rsid w:val="003F2F9A"/>
    <w:rsid w:val="003F5F90"/>
    <w:rsid w:val="003F77D4"/>
    <w:rsid w:val="00400978"/>
    <w:rsid w:val="00403399"/>
    <w:rsid w:val="004048E8"/>
    <w:rsid w:val="00406E52"/>
    <w:rsid w:val="0041038B"/>
    <w:rsid w:val="00414108"/>
    <w:rsid w:val="004162BB"/>
    <w:rsid w:val="00416E02"/>
    <w:rsid w:val="004201D2"/>
    <w:rsid w:val="0042060D"/>
    <w:rsid w:val="00420A76"/>
    <w:rsid w:val="004215C1"/>
    <w:rsid w:val="004216F3"/>
    <w:rsid w:val="004217E7"/>
    <w:rsid w:val="004233AE"/>
    <w:rsid w:val="004243C8"/>
    <w:rsid w:val="00427424"/>
    <w:rsid w:val="00427DCB"/>
    <w:rsid w:val="00432D35"/>
    <w:rsid w:val="00432EC4"/>
    <w:rsid w:val="00433500"/>
    <w:rsid w:val="00434814"/>
    <w:rsid w:val="00435593"/>
    <w:rsid w:val="0043726B"/>
    <w:rsid w:val="00441B70"/>
    <w:rsid w:val="00442CEF"/>
    <w:rsid w:val="00444851"/>
    <w:rsid w:val="00447266"/>
    <w:rsid w:val="0044777D"/>
    <w:rsid w:val="00452847"/>
    <w:rsid w:val="00452F81"/>
    <w:rsid w:val="00456CAC"/>
    <w:rsid w:val="00460888"/>
    <w:rsid w:val="00464374"/>
    <w:rsid w:val="00466061"/>
    <w:rsid w:val="00467168"/>
    <w:rsid w:val="00467ECD"/>
    <w:rsid w:val="004700FD"/>
    <w:rsid w:val="004710FE"/>
    <w:rsid w:val="00471D27"/>
    <w:rsid w:val="00472522"/>
    <w:rsid w:val="00474C97"/>
    <w:rsid w:val="004757A2"/>
    <w:rsid w:val="004803DF"/>
    <w:rsid w:val="00480CA6"/>
    <w:rsid w:val="00481CAF"/>
    <w:rsid w:val="004824C0"/>
    <w:rsid w:val="0048252E"/>
    <w:rsid w:val="004834A1"/>
    <w:rsid w:val="00483BAE"/>
    <w:rsid w:val="00483F03"/>
    <w:rsid w:val="00487F2F"/>
    <w:rsid w:val="00492E6F"/>
    <w:rsid w:val="004A5895"/>
    <w:rsid w:val="004A58D8"/>
    <w:rsid w:val="004B5472"/>
    <w:rsid w:val="004B5E90"/>
    <w:rsid w:val="004B711E"/>
    <w:rsid w:val="004B771F"/>
    <w:rsid w:val="004C34FC"/>
    <w:rsid w:val="004C6529"/>
    <w:rsid w:val="004C6B07"/>
    <w:rsid w:val="004C71B3"/>
    <w:rsid w:val="004D2686"/>
    <w:rsid w:val="004D3F4B"/>
    <w:rsid w:val="004D4BB8"/>
    <w:rsid w:val="004D5424"/>
    <w:rsid w:val="004D629F"/>
    <w:rsid w:val="004D77A7"/>
    <w:rsid w:val="004E29BD"/>
    <w:rsid w:val="004E2B61"/>
    <w:rsid w:val="004E3EAA"/>
    <w:rsid w:val="004E4F32"/>
    <w:rsid w:val="004F1DB8"/>
    <w:rsid w:val="004F1F77"/>
    <w:rsid w:val="004F2228"/>
    <w:rsid w:val="004F4D69"/>
    <w:rsid w:val="004F59A3"/>
    <w:rsid w:val="004F62C5"/>
    <w:rsid w:val="004F65E7"/>
    <w:rsid w:val="0050093F"/>
    <w:rsid w:val="00501D90"/>
    <w:rsid w:val="0050376F"/>
    <w:rsid w:val="0050608D"/>
    <w:rsid w:val="00507423"/>
    <w:rsid w:val="00507A6D"/>
    <w:rsid w:val="00511FA9"/>
    <w:rsid w:val="005142DF"/>
    <w:rsid w:val="00516132"/>
    <w:rsid w:val="0052219A"/>
    <w:rsid w:val="005236E1"/>
    <w:rsid w:val="00523CCE"/>
    <w:rsid w:val="00527542"/>
    <w:rsid w:val="005311C7"/>
    <w:rsid w:val="0053295E"/>
    <w:rsid w:val="00532B0D"/>
    <w:rsid w:val="00533C7D"/>
    <w:rsid w:val="00533CDC"/>
    <w:rsid w:val="00541B23"/>
    <w:rsid w:val="005426D5"/>
    <w:rsid w:val="00543EEF"/>
    <w:rsid w:val="00544291"/>
    <w:rsid w:val="0054754E"/>
    <w:rsid w:val="00550256"/>
    <w:rsid w:val="00550682"/>
    <w:rsid w:val="005513DC"/>
    <w:rsid w:val="00553B06"/>
    <w:rsid w:val="00556C74"/>
    <w:rsid w:val="00557C99"/>
    <w:rsid w:val="00560CE1"/>
    <w:rsid w:val="00565B74"/>
    <w:rsid w:val="00565F28"/>
    <w:rsid w:val="00566CFB"/>
    <w:rsid w:val="00570DF2"/>
    <w:rsid w:val="005728BD"/>
    <w:rsid w:val="0057366E"/>
    <w:rsid w:val="0057484A"/>
    <w:rsid w:val="00574A44"/>
    <w:rsid w:val="00574CD0"/>
    <w:rsid w:val="005758EC"/>
    <w:rsid w:val="0057732E"/>
    <w:rsid w:val="005846CD"/>
    <w:rsid w:val="0059155A"/>
    <w:rsid w:val="005A10BF"/>
    <w:rsid w:val="005A6B30"/>
    <w:rsid w:val="005B162E"/>
    <w:rsid w:val="005B3192"/>
    <w:rsid w:val="005B387E"/>
    <w:rsid w:val="005B5551"/>
    <w:rsid w:val="005B710A"/>
    <w:rsid w:val="005B7DF0"/>
    <w:rsid w:val="005C07DB"/>
    <w:rsid w:val="005C75E2"/>
    <w:rsid w:val="005D2408"/>
    <w:rsid w:val="005D4749"/>
    <w:rsid w:val="005D5646"/>
    <w:rsid w:val="005D7488"/>
    <w:rsid w:val="005D75F5"/>
    <w:rsid w:val="005E34C4"/>
    <w:rsid w:val="005F4092"/>
    <w:rsid w:val="005F7EB4"/>
    <w:rsid w:val="006041F6"/>
    <w:rsid w:val="00614C79"/>
    <w:rsid w:val="00616D04"/>
    <w:rsid w:val="00622BA6"/>
    <w:rsid w:val="00624FAB"/>
    <w:rsid w:val="00626585"/>
    <w:rsid w:val="00631A6E"/>
    <w:rsid w:val="0063427C"/>
    <w:rsid w:val="0063448F"/>
    <w:rsid w:val="00634BFB"/>
    <w:rsid w:val="00641C94"/>
    <w:rsid w:val="00641E74"/>
    <w:rsid w:val="006443F4"/>
    <w:rsid w:val="006457E3"/>
    <w:rsid w:val="00647A30"/>
    <w:rsid w:val="0065308E"/>
    <w:rsid w:val="00655C31"/>
    <w:rsid w:val="00656AF1"/>
    <w:rsid w:val="00656BD8"/>
    <w:rsid w:val="00657076"/>
    <w:rsid w:val="0066380E"/>
    <w:rsid w:val="0066717C"/>
    <w:rsid w:val="00672565"/>
    <w:rsid w:val="00673EAA"/>
    <w:rsid w:val="00677AC2"/>
    <w:rsid w:val="0068299A"/>
    <w:rsid w:val="00686DD7"/>
    <w:rsid w:val="00697AA4"/>
    <w:rsid w:val="006A3264"/>
    <w:rsid w:val="006A418C"/>
    <w:rsid w:val="006B04CC"/>
    <w:rsid w:val="006B05EC"/>
    <w:rsid w:val="006B2666"/>
    <w:rsid w:val="006B47E3"/>
    <w:rsid w:val="006B778C"/>
    <w:rsid w:val="006B78BB"/>
    <w:rsid w:val="006B78C2"/>
    <w:rsid w:val="006C0933"/>
    <w:rsid w:val="006C0A52"/>
    <w:rsid w:val="006D3AC1"/>
    <w:rsid w:val="006D3CD7"/>
    <w:rsid w:val="006D5E9A"/>
    <w:rsid w:val="006E0EEB"/>
    <w:rsid w:val="006E1B50"/>
    <w:rsid w:val="006E22DB"/>
    <w:rsid w:val="006E3DEE"/>
    <w:rsid w:val="006E4378"/>
    <w:rsid w:val="006E44E7"/>
    <w:rsid w:val="006E4784"/>
    <w:rsid w:val="006E4F4C"/>
    <w:rsid w:val="006E5F04"/>
    <w:rsid w:val="006F0C7C"/>
    <w:rsid w:val="006F209B"/>
    <w:rsid w:val="006F2B56"/>
    <w:rsid w:val="006F46DA"/>
    <w:rsid w:val="006F4DC0"/>
    <w:rsid w:val="006F56A4"/>
    <w:rsid w:val="006F57D1"/>
    <w:rsid w:val="007004E2"/>
    <w:rsid w:val="00701E4C"/>
    <w:rsid w:val="00704B4C"/>
    <w:rsid w:val="0070717A"/>
    <w:rsid w:val="00712CA3"/>
    <w:rsid w:val="00716992"/>
    <w:rsid w:val="00723767"/>
    <w:rsid w:val="0072550E"/>
    <w:rsid w:val="0072581E"/>
    <w:rsid w:val="00726970"/>
    <w:rsid w:val="007319D6"/>
    <w:rsid w:val="007324E1"/>
    <w:rsid w:val="0073285F"/>
    <w:rsid w:val="0073394C"/>
    <w:rsid w:val="007339F8"/>
    <w:rsid w:val="00734581"/>
    <w:rsid w:val="00735F09"/>
    <w:rsid w:val="00737583"/>
    <w:rsid w:val="00740F3D"/>
    <w:rsid w:val="0074285E"/>
    <w:rsid w:val="00742D15"/>
    <w:rsid w:val="007434A1"/>
    <w:rsid w:val="00744BDC"/>
    <w:rsid w:val="00744DD6"/>
    <w:rsid w:val="00750D0F"/>
    <w:rsid w:val="007529EB"/>
    <w:rsid w:val="00756933"/>
    <w:rsid w:val="007618F2"/>
    <w:rsid w:val="0076695C"/>
    <w:rsid w:val="00771CE4"/>
    <w:rsid w:val="00772135"/>
    <w:rsid w:val="007724D5"/>
    <w:rsid w:val="00774B71"/>
    <w:rsid w:val="00774CDE"/>
    <w:rsid w:val="007761DF"/>
    <w:rsid w:val="007773CC"/>
    <w:rsid w:val="007802C4"/>
    <w:rsid w:val="0078351C"/>
    <w:rsid w:val="00783EB6"/>
    <w:rsid w:val="0078548D"/>
    <w:rsid w:val="00786287"/>
    <w:rsid w:val="007923F6"/>
    <w:rsid w:val="00794B45"/>
    <w:rsid w:val="00794CCE"/>
    <w:rsid w:val="007A1522"/>
    <w:rsid w:val="007A3CFB"/>
    <w:rsid w:val="007A52BE"/>
    <w:rsid w:val="007B081E"/>
    <w:rsid w:val="007B188A"/>
    <w:rsid w:val="007B1A5E"/>
    <w:rsid w:val="007B6C33"/>
    <w:rsid w:val="007B72F7"/>
    <w:rsid w:val="007B7B06"/>
    <w:rsid w:val="007C038D"/>
    <w:rsid w:val="007C4285"/>
    <w:rsid w:val="007C4B4E"/>
    <w:rsid w:val="007D1C22"/>
    <w:rsid w:val="007D5481"/>
    <w:rsid w:val="007D54A2"/>
    <w:rsid w:val="007D63A5"/>
    <w:rsid w:val="007D6AC4"/>
    <w:rsid w:val="007E0F1C"/>
    <w:rsid w:val="007E111E"/>
    <w:rsid w:val="007E6646"/>
    <w:rsid w:val="007E7FED"/>
    <w:rsid w:val="007F14DA"/>
    <w:rsid w:val="007F6F87"/>
    <w:rsid w:val="007F75B7"/>
    <w:rsid w:val="00800B0A"/>
    <w:rsid w:val="008016DD"/>
    <w:rsid w:val="008023A9"/>
    <w:rsid w:val="008039AA"/>
    <w:rsid w:val="008071C3"/>
    <w:rsid w:val="00810E59"/>
    <w:rsid w:val="00812C9E"/>
    <w:rsid w:val="008131DF"/>
    <w:rsid w:val="008144B9"/>
    <w:rsid w:val="00814D92"/>
    <w:rsid w:val="00817138"/>
    <w:rsid w:val="008253DD"/>
    <w:rsid w:val="00832F9D"/>
    <w:rsid w:val="00833640"/>
    <w:rsid w:val="00834A7A"/>
    <w:rsid w:val="00836267"/>
    <w:rsid w:val="00837E3D"/>
    <w:rsid w:val="008400D0"/>
    <w:rsid w:val="00843DA8"/>
    <w:rsid w:val="00845220"/>
    <w:rsid w:val="008461DD"/>
    <w:rsid w:val="00850070"/>
    <w:rsid w:val="008529B4"/>
    <w:rsid w:val="00853B37"/>
    <w:rsid w:val="008570F3"/>
    <w:rsid w:val="00862873"/>
    <w:rsid w:val="008647A1"/>
    <w:rsid w:val="00865672"/>
    <w:rsid w:val="00866332"/>
    <w:rsid w:val="00867FC1"/>
    <w:rsid w:val="00870242"/>
    <w:rsid w:val="00870673"/>
    <w:rsid w:val="00871719"/>
    <w:rsid w:val="008717AC"/>
    <w:rsid w:val="00874921"/>
    <w:rsid w:val="00876F00"/>
    <w:rsid w:val="008826C0"/>
    <w:rsid w:val="00884E06"/>
    <w:rsid w:val="00887FFA"/>
    <w:rsid w:val="0089102D"/>
    <w:rsid w:val="008916FC"/>
    <w:rsid w:val="008938E4"/>
    <w:rsid w:val="008948E9"/>
    <w:rsid w:val="00896723"/>
    <w:rsid w:val="00896A75"/>
    <w:rsid w:val="008A1DBB"/>
    <w:rsid w:val="008A2676"/>
    <w:rsid w:val="008A7634"/>
    <w:rsid w:val="008B51FB"/>
    <w:rsid w:val="008B5CCE"/>
    <w:rsid w:val="008B6844"/>
    <w:rsid w:val="008B6F3B"/>
    <w:rsid w:val="008B7E2C"/>
    <w:rsid w:val="008C0BFB"/>
    <w:rsid w:val="008C2684"/>
    <w:rsid w:val="008C2A04"/>
    <w:rsid w:val="008C6D15"/>
    <w:rsid w:val="008D1A67"/>
    <w:rsid w:val="008D1E8B"/>
    <w:rsid w:val="008D1FC2"/>
    <w:rsid w:val="008D265C"/>
    <w:rsid w:val="008D29D8"/>
    <w:rsid w:val="008D3E98"/>
    <w:rsid w:val="008E0A63"/>
    <w:rsid w:val="008E147C"/>
    <w:rsid w:val="008E2853"/>
    <w:rsid w:val="008E387E"/>
    <w:rsid w:val="008E3F4C"/>
    <w:rsid w:val="008F51A1"/>
    <w:rsid w:val="008F6278"/>
    <w:rsid w:val="008F7CF6"/>
    <w:rsid w:val="009015E4"/>
    <w:rsid w:val="00901DC9"/>
    <w:rsid w:val="009040E4"/>
    <w:rsid w:val="00904A4D"/>
    <w:rsid w:val="00904FA7"/>
    <w:rsid w:val="0091479D"/>
    <w:rsid w:val="009244A4"/>
    <w:rsid w:val="00925F68"/>
    <w:rsid w:val="009272B7"/>
    <w:rsid w:val="00931CDB"/>
    <w:rsid w:val="0093244E"/>
    <w:rsid w:val="0093432E"/>
    <w:rsid w:val="00935820"/>
    <w:rsid w:val="00935B53"/>
    <w:rsid w:val="00937864"/>
    <w:rsid w:val="00952B48"/>
    <w:rsid w:val="00952E7E"/>
    <w:rsid w:val="00954DD6"/>
    <w:rsid w:val="00955411"/>
    <w:rsid w:val="00957D54"/>
    <w:rsid w:val="00960240"/>
    <w:rsid w:val="009608D2"/>
    <w:rsid w:val="00961ADD"/>
    <w:rsid w:val="00965AFF"/>
    <w:rsid w:val="00967FDA"/>
    <w:rsid w:val="00970B24"/>
    <w:rsid w:val="00972259"/>
    <w:rsid w:val="00972A5E"/>
    <w:rsid w:val="009735EE"/>
    <w:rsid w:val="009758CC"/>
    <w:rsid w:val="00977987"/>
    <w:rsid w:val="009827EC"/>
    <w:rsid w:val="009841F6"/>
    <w:rsid w:val="009847B7"/>
    <w:rsid w:val="00984D5E"/>
    <w:rsid w:val="00985DAB"/>
    <w:rsid w:val="0098643D"/>
    <w:rsid w:val="0098723C"/>
    <w:rsid w:val="00990114"/>
    <w:rsid w:val="009904ED"/>
    <w:rsid w:val="009933B9"/>
    <w:rsid w:val="00995239"/>
    <w:rsid w:val="009B0E1B"/>
    <w:rsid w:val="009B39AD"/>
    <w:rsid w:val="009B6566"/>
    <w:rsid w:val="009C229B"/>
    <w:rsid w:val="009C67B6"/>
    <w:rsid w:val="009C75F7"/>
    <w:rsid w:val="009C79EF"/>
    <w:rsid w:val="009D21D4"/>
    <w:rsid w:val="009D2DBD"/>
    <w:rsid w:val="009D48A7"/>
    <w:rsid w:val="009D707A"/>
    <w:rsid w:val="009D782A"/>
    <w:rsid w:val="009E10E6"/>
    <w:rsid w:val="009F1E15"/>
    <w:rsid w:val="009F39B1"/>
    <w:rsid w:val="009F5B63"/>
    <w:rsid w:val="009F5D26"/>
    <w:rsid w:val="009F7139"/>
    <w:rsid w:val="009F7B1C"/>
    <w:rsid w:val="009F7DF9"/>
    <w:rsid w:val="00A013F9"/>
    <w:rsid w:val="00A02600"/>
    <w:rsid w:val="00A04D50"/>
    <w:rsid w:val="00A076C0"/>
    <w:rsid w:val="00A1017E"/>
    <w:rsid w:val="00A11193"/>
    <w:rsid w:val="00A11345"/>
    <w:rsid w:val="00A13810"/>
    <w:rsid w:val="00A15190"/>
    <w:rsid w:val="00A153CA"/>
    <w:rsid w:val="00A15DAF"/>
    <w:rsid w:val="00A16290"/>
    <w:rsid w:val="00A201F7"/>
    <w:rsid w:val="00A22B68"/>
    <w:rsid w:val="00A230A0"/>
    <w:rsid w:val="00A245C4"/>
    <w:rsid w:val="00A2583D"/>
    <w:rsid w:val="00A27D29"/>
    <w:rsid w:val="00A314E7"/>
    <w:rsid w:val="00A33977"/>
    <w:rsid w:val="00A34090"/>
    <w:rsid w:val="00A340D7"/>
    <w:rsid w:val="00A40161"/>
    <w:rsid w:val="00A42915"/>
    <w:rsid w:val="00A43034"/>
    <w:rsid w:val="00A4612A"/>
    <w:rsid w:val="00A47200"/>
    <w:rsid w:val="00A51B08"/>
    <w:rsid w:val="00A52AA1"/>
    <w:rsid w:val="00A53297"/>
    <w:rsid w:val="00A551C5"/>
    <w:rsid w:val="00A6080D"/>
    <w:rsid w:val="00A61B5E"/>
    <w:rsid w:val="00A62285"/>
    <w:rsid w:val="00A66384"/>
    <w:rsid w:val="00A70F9C"/>
    <w:rsid w:val="00A71C65"/>
    <w:rsid w:val="00A72EE1"/>
    <w:rsid w:val="00A80049"/>
    <w:rsid w:val="00A85610"/>
    <w:rsid w:val="00A91F5F"/>
    <w:rsid w:val="00A93C33"/>
    <w:rsid w:val="00A9442A"/>
    <w:rsid w:val="00A95D78"/>
    <w:rsid w:val="00A963F0"/>
    <w:rsid w:val="00A97572"/>
    <w:rsid w:val="00AA291B"/>
    <w:rsid w:val="00AA2A61"/>
    <w:rsid w:val="00AA3ADC"/>
    <w:rsid w:val="00AA4D05"/>
    <w:rsid w:val="00AA5AEE"/>
    <w:rsid w:val="00AA61B0"/>
    <w:rsid w:val="00AA68FD"/>
    <w:rsid w:val="00AA6C47"/>
    <w:rsid w:val="00AB25D7"/>
    <w:rsid w:val="00AB2972"/>
    <w:rsid w:val="00AB35D7"/>
    <w:rsid w:val="00AB3964"/>
    <w:rsid w:val="00AB5050"/>
    <w:rsid w:val="00AB6981"/>
    <w:rsid w:val="00AC25DA"/>
    <w:rsid w:val="00AC3714"/>
    <w:rsid w:val="00AC7E33"/>
    <w:rsid w:val="00AD08C7"/>
    <w:rsid w:val="00AD743A"/>
    <w:rsid w:val="00AD7650"/>
    <w:rsid w:val="00AE0F3D"/>
    <w:rsid w:val="00AE2209"/>
    <w:rsid w:val="00AE2A38"/>
    <w:rsid w:val="00AE522C"/>
    <w:rsid w:val="00AE6821"/>
    <w:rsid w:val="00AE70A5"/>
    <w:rsid w:val="00AF677E"/>
    <w:rsid w:val="00AF708B"/>
    <w:rsid w:val="00B04185"/>
    <w:rsid w:val="00B0573F"/>
    <w:rsid w:val="00B064AF"/>
    <w:rsid w:val="00B115BF"/>
    <w:rsid w:val="00B122BD"/>
    <w:rsid w:val="00B1436E"/>
    <w:rsid w:val="00B15F65"/>
    <w:rsid w:val="00B16494"/>
    <w:rsid w:val="00B25D54"/>
    <w:rsid w:val="00B3376D"/>
    <w:rsid w:val="00B338C2"/>
    <w:rsid w:val="00B468B9"/>
    <w:rsid w:val="00B47C98"/>
    <w:rsid w:val="00B50D33"/>
    <w:rsid w:val="00B53241"/>
    <w:rsid w:val="00B60F8C"/>
    <w:rsid w:val="00B61779"/>
    <w:rsid w:val="00B6328C"/>
    <w:rsid w:val="00B6514B"/>
    <w:rsid w:val="00B65E12"/>
    <w:rsid w:val="00B72FFA"/>
    <w:rsid w:val="00B74891"/>
    <w:rsid w:val="00B76EEE"/>
    <w:rsid w:val="00B772C8"/>
    <w:rsid w:val="00B807C7"/>
    <w:rsid w:val="00B81EB7"/>
    <w:rsid w:val="00B83209"/>
    <w:rsid w:val="00B844AD"/>
    <w:rsid w:val="00B8483F"/>
    <w:rsid w:val="00B876B7"/>
    <w:rsid w:val="00B922CE"/>
    <w:rsid w:val="00B93060"/>
    <w:rsid w:val="00B93246"/>
    <w:rsid w:val="00B94682"/>
    <w:rsid w:val="00B97FD9"/>
    <w:rsid w:val="00BA16EB"/>
    <w:rsid w:val="00BA336C"/>
    <w:rsid w:val="00BB0A40"/>
    <w:rsid w:val="00BB0DCD"/>
    <w:rsid w:val="00BB27A5"/>
    <w:rsid w:val="00BB449E"/>
    <w:rsid w:val="00BC1302"/>
    <w:rsid w:val="00BC17D3"/>
    <w:rsid w:val="00BC27B6"/>
    <w:rsid w:val="00BC2FDD"/>
    <w:rsid w:val="00BC4743"/>
    <w:rsid w:val="00BC527E"/>
    <w:rsid w:val="00BD0E28"/>
    <w:rsid w:val="00BD138B"/>
    <w:rsid w:val="00BD1DF0"/>
    <w:rsid w:val="00BD24AD"/>
    <w:rsid w:val="00BD77AF"/>
    <w:rsid w:val="00BE14EF"/>
    <w:rsid w:val="00BE4D08"/>
    <w:rsid w:val="00BF2212"/>
    <w:rsid w:val="00BF40EE"/>
    <w:rsid w:val="00BF463E"/>
    <w:rsid w:val="00BF67FF"/>
    <w:rsid w:val="00C01150"/>
    <w:rsid w:val="00C03093"/>
    <w:rsid w:val="00C039A0"/>
    <w:rsid w:val="00C04D6E"/>
    <w:rsid w:val="00C05829"/>
    <w:rsid w:val="00C069A1"/>
    <w:rsid w:val="00C0720F"/>
    <w:rsid w:val="00C105BD"/>
    <w:rsid w:val="00C16591"/>
    <w:rsid w:val="00C179F6"/>
    <w:rsid w:val="00C20953"/>
    <w:rsid w:val="00C21E35"/>
    <w:rsid w:val="00C22449"/>
    <w:rsid w:val="00C2485D"/>
    <w:rsid w:val="00C319E1"/>
    <w:rsid w:val="00C33967"/>
    <w:rsid w:val="00C339C7"/>
    <w:rsid w:val="00C34B9B"/>
    <w:rsid w:val="00C36990"/>
    <w:rsid w:val="00C4032D"/>
    <w:rsid w:val="00C410F4"/>
    <w:rsid w:val="00C44E49"/>
    <w:rsid w:val="00C45FC1"/>
    <w:rsid w:val="00C53A14"/>
    <w:rsid w:val="00C6135D"/>
    <w:rsid w:val="00C62F6F"/>
    <w:rsid w:val="00C677BB"/>
    <w:rsid w:val="00C71A30"/>
    <w:rsid w:val="00C72AA1"/>
    <w:rsid w:val="00C80680"/>
    <w:rsid w:val="00C80C80"/>
    <w:rsid w:val="00C8422F"/>
    <w:rsid w:val="00C863BD"/>
    <w:rsid w:val="00C86B45"/>
    <w:rsid w:val="00C86B6E"/>
    <w:rsid w:val="00C92334"/>
    <w:rsid w:val="00C9446F"/>
    <w:rsid w:val="00CA4DC7"/>
    <w:rsid w:val="00CB04BB"/>
    <w:rsid w:val="00CB4D64"/>
    <w:rsid w:val="00CB54B6"/>
    <w:rsid w:val="00CB5B4F"/>
    <w:rsid w:val="00CB77F4"/>
    <w:rsid w:val="00CC0300"/>
    <w:rsid w:val="00CC60CC"/>
    <w:rsid w:val="00CC6D0A"/>
    <w:rsid w:val="00CC7C2F"/>
    <w:rsid w:val="00CD0D6C"/>
    <w:rsid w:val="00CE05EF"/>
    <w:rsid w:val="00CE07A5"/>
    <w:rsid w:val="00CE0A57"/>
    <w:rsid w:val="00CE4FFF"/>
    <w:rsid w:val="00CE749C"/>
    <w:rsid w:val="00CE76F4"/>
    <w:rsid w:val="00CE78CC"/>
    <w:rsid w:val="00CF1071"/>
    <w:rsid w:val="00CF2536"/>
    <w:rsid w:val="00CF39A7"/>
    <w:rsid w:val="00CF5512"/>
    <w:rsid w:val="00CF5AA5"/>
    <w:rsid w:val="00D01566"/>
    <w:rsid w:val="00D13CC7"/>
    <w:rsid w:val="00D14F98"/>
    <w:rsid w:val="00D15D21"/>
    <w:rsid w:val="00D2033D"/>
    <w:rsid w:val="00D204C8"/>
    <w:rsid w:val="00D20A34"/>
    <w:rsid w:val="00D20E52"/>
    <w:rsid w:val="00D2282B"/>
    <w:rsid w:val="00D24367"/>
    <w:rsid w:val="00D31303"/>
    <w:rsid w:val="00D32337"/>
    <w:rsid w:val="00D32A3E"/>
    <w:rsid w:val="00D32D83"/>
    <w:rsid w:val="00D32E71"/>
    <w:rsid w:val="00D33CC4"/>
    <w:rsid w:val="00D35B1D"/>
    <w:rsid w:val="00D37CD6"/>
    <w:rsid w:val="00D43C84"/>
    <w:rsid w:val="00D43DA7"/>
    <w:rsid w:val="00D43FC2"/>
    <w:rsid w:val="00D44113"/>
    <w:rsid w:val="00D4473C"/>
    <w:rsid w:val="00D450A7"/>
    <w:rsid w:val="00D46443"/>
    <w:rsid w:val="00D56F3F"/>
    <w:rsid w:val="00D57E0C"/>
    <w:rsid w:val="00D62831"/>
    <w:rsid w:val="00D64A8D"/>
    <w:rsid w:val="00D66114"/>
    <w:rsid w:val="00D70ABB"/>
    <w:rsid w:val="00D71AFD"/>
    <w:rsid w:val="00D7461E"/>
    <w:rsid w:val="00D7582A"/>
    <w:rsid w:val="00D80D4E"/>
    <w:rsid w:val="00D8145C"/>
    <w:rsid w:val="00D82B5F"/>
    <w:rsid w:val="00D83ED4"/>
    <w:rsid w:val="00D91574"/>
    <w:rsid w:val="00D9203D"/>
    <w:rsid w:val="00D921FB"/>
    <w:rsid w:val="00D947BE"/>
    <w:rsid w:val="00D94BEB"/>
    <w:rsid w:val="00D94DFB"/>
    <w:rsid w:val="00D9671C"/>
    <w:rsid w:val="00D97886"/>
    <w:rsid w:val="00DA07D3"/>
    <w:rsid w:val="00DA0AEF"/>
    <w:rsid w:val="00DA0CAB"/>
    <w:rsid w:val="00DA102E"/>
    <w:rsid w:val="00DA53E9"/>
    <w:rsid w:val="00DA7D7F"/>
    <w:rsid w:val="00DB04E3"/>
    <w:rsid w:val="00DD534D"/>
    <w:rsid w:val="00DD7BB6"/>
    <w:rsid w:val="00DE1EFD"/>
    <w:rsid w:val="00DE206C"/>
    <w:rsid w:val="00DE3FD5"/>
    <w:rsid w:val="00DE7BD6"/>
    <w:rsid w:val="00DF09E0"/>
    <w:rsid w:val="00DF203E"/>
    <w:rsid w:val="00DF4326"/>
    <w:rsid w:val="00DF51EB"/>
    <w:rsid w:val="00DF6939"/>
    <w:rsid w:val="00DF71D3"/>
    <w:rsid w:val="00DF79DA"/>
    <w:rsid w:val="00E01440"/>
    <w:rsid w:val="00E0357F"/>
    <w:rsid w:val="00E06040"/>
    <w:rsid w:val="00E07EBA"/>
    <w:rsid w:val="00E10AD7"/>
    <w:rsid w:val="00E12ABE"/>
    <w:rsid w:val="00E13297"/>
    <w:rsid w:val="00E2095C"/>
    <w:rsid w:val="00E21DED"/>
    <w:rsid w:val="00E30930"/>
    <w:rsid w:val="00E310B9"/>
    <w:rsid w:val="00E33E1F"/>
    <w:rsid w:val="00E376FC"/>
    <w:rsid w:val="00E418AE"/>
    <w:rsid w:val="00E4302E"/>
    <w:rsid w:val="00E43274"/>
    <w:rsid w:val="00E44CE4"/>
    <w:rsid w:val="00E47889"/>
    <w:rsid w:val="00E55200"/>
    <w:rsid w:val="00E62654"/>
    <w:rsid w:val="00E748B6"/>
    <w:rsid w:val="00E76D81"/>
    <w:rsid w:val="00E83B26"/>
    <w:rsid w:val="00E84A9D"/>
    <w:rsid w:val="00E869B6"/>
    <w:rsid w:val="00E86BC7"/>
    <w:rsid w:val="00E877F9"/>
    <w:rsid w:val="00E90A73"/>
    <w:rsid w:val="00E918C1"/>
    <w:rsid w:val="00E92155"/>
    <w:rsid w:val="00E93A8B"/>
    <w:rsid w:val="00EA14E0"/>
    <w:rsid w:val="00EA1EBA"/>
    <w:rsid w:val="00EA1ECA"/>
    <w:rsid w:val="00EA2966"/>
    <w:rsid w:val="00EA2DAB"/>
    <w:rsid w:val="00EA4AC7"/>
    <w:rsid w:val="00EB2261"/>
    <w:rsid w:val="00EB24CA"/>
    <w:rsid w:val="00EB263D"/>
    <w:rsid w:val="00EB26F1"/>
    <w:rsid w:val="00EB2B01"/>
    <w:rsid w:val="00EB4F95"/>
    <w:rsid w:val="00EB5AD3"/>
    <w:rsid w:val="00EC0A0C"/>
    <w:rsid w:val="00EC4BC7"/>
    <w:rsid w:val="00EC58D9"/>
    <w:rsid w:val="00EC5EC8"/>
    <w:rsid w:val="00EC6A2A"/>
    <w:rsid w:val="00ED5349"/>
    <w:rsid w:val="00EE0C9E"/>
    <w:rsid w:val="00EE1A8D"/>
    <w:rsid w:val="00EE2CB0"/>
    <w:rsid w:val="00EE323C"/>
    <w:rsid w:val="00EE6564"/>
    <w:rsid w:val="00EF1C01"/>
    <w:rsid w:val="00EF5A0B"/>
    <w:rsid w:val="00EF6647"/>
    <w:rsid w:val="00EF7CEC"/>
    <w:rsid w:val="00F00EF4"/>
    <w:rsid w:val="00F03706"/>
    <w:rsid w:val="00F044B7"/>
    <w:rsid w:val="00F0579E"/>
    <w:rsid w:val="00F07BB1"/>
    <w:rsid w:val="00F10C32"/>
    <w:rsid w:val="00F117D1"/>
    <w:rsid w:val="00F14E12"/>
    <w:rsid w:val="00F16462"/>
    <w:rsid w:val="00F16784"/>
    <w:rsid w:val="00F16C28"/>
    <w:rsid w:val="00F20D87"/>
    <w:rsid w:val="00F21E51"/>
    <w:rsid w:val="00F223B3"/>
    <w:rsid w:val="00F24764"/>
    <w:rsid w:val="00F253E5"/>
    <w:rsid w:val="00F254AF"/>
    <w:rsid w:val="00F2552F"/>
    <w:rsid w:val="00F25949"/>
    <w:rsid w:val="00F25AC9"/>
    <w:rsid w:val="00F2608D"/>
    <w:rsid w:val="00F2610A"/>
    <w:rsid w:val="00F27AFF"/>
    <w:rsid w:val="00F27CFD"/>
    <w:rsid w:val="00F27DEF"/>
    <w:rsid w:val="00F30108"/>
    <w:rsid w:val="00F30221"/>
    <w:rsid w:val="00F3336F"/>
    <w:rsid w:val="00F340D4"/>
    <w:rsid w:val="00F34DB0"/>
    <w:rsid w:val="00F35CB2"/>
    <w:rsid w:val="00F3748F"/>
    <w:rsid w:val="00F4518B"/>
    <w:rsid w:val="00F4560B"/>
    <w:rsid w:val="00F45CE0"/>
    <w:rsid w:val="00F45D07"/>
    <w:rsid w:val="00F5029E"/>
    <w:rsid w:val="00F5036A"/>
    <w:rsid w:val="00F50A1A"/>
    <w:rsid w:val="00F532A4"/>
    <w:rsid w:val="00F539F4"/>
    <w:rsid w:val="00F602F5"/>
    <w:rsid w:val="00F60395"/>
    <w:rsid w:val="00F60BFC"/>
    <w:rsid w:val="00F67BE1"/>
    <w:rsid w:val="00F7010F"/>
    <w:rsid w:val="00F71CF4"/>
    <w:rsid w:val="00F7293D"/>
    <w:rsid w:val="00F72BEF"/>
    <w:rsid w:val="00F762F5"/>
    <w:rsid w:val="00F76505"/>
    <w:rsid w:val="00F7653C"/>
    <w:rsid w:val="00F77FEB"/>
    <w:rsid w:val="00F80635"/>
    <w:rsid w:val="00F83A5D"/>
    <w:rsid w:val="00F9019A"/>
    <w:rsid w:val="00F901DD"/>
    <w:rsid w:val="00F925CC"/>
    <w:rsid w:val="00F94A2D"/>
    <w:rsid w:val="00F9523A"/>
    <w:rsid w:val="00F968B1"/>
    <w:rsid w:val="00F97808"/>
    <w:rsid w:val="00FA0DC6"/>
    <w:rsid w:val="00FA333F"/>
    <w:rsid w:val="00FA39D8"/>
    <w:rsid w:val="00FA4473"/>
    <w:rsid w:val="00FA7C5E"/>
    <w:rsid w:val="00FB0DFD"/>
    <w:rsid w:val="00FB1382"/>
    <w:rsid w:val="00FB1C6B"/>
    <w:rsid w:val="00FB2671"/>
    <w:rsid w:val="00FB5988"/>
    <w:rsid w:val="00FB630C"/>
    <w:rsid w:val="00FB6A36"/>
    <w:rsid w:val="00FC1667"/>
    <w:rsid w:val="00FC1B81"/>
    <w:rsid w:val="00FC3119"/>
    <w:rsid w:val="00FC3E67"/>
    <w:rsid w:val="00FC4AB2"/>
    <w:rsid w:val="00FC5F02"/>
    <w:rsid w:val="00FC6048"/>
    <w:rsid w:val="00FC6BFA"/>
    <w:rsid w:val="00FC7306"/>
    <w:rsid w:val="00FD0F75"/>
    <w:rsid w:val="00FD26C4"/>
    <w:rsid w:val="00FD51B9"/>
    <w:rsid w:val="00FD7A35"/>
    <w:rsid w:val="00FE045E"/>
    <w:rsid w:val="00FE26B8"/>
    <w:rsid w:val="00FE68E5"/>
    <w:rsid w:val="00FE76D8"/>
    <w:rsid w:val="00FF043C"/>
    <w:rsid w:val="00FF2453"/>
    <w:rsid w:val="00FF2E44"/>
    <w:rsid w:val="00FF2F8B"/>
    <w:rsid w:val="00FF4DED"/>
    <w:rsid w:val="00FF5C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53B37"/>
    <w:pPr>
      <w:keepNext/>
      <w:tabs>
        <w:tab w:val="left" w:pos="7088"/>
      </w:tabs>
      <w:spacing w:after="0" w:line="240" w:lineRule="auto"/>
      <w:jc w:val="center"/>
      <w:outlineLvl w:val="1"/>
    </w:pPr>
    <w:rPr>
      <w:rFonts w:ascii="Times New Roman" w:eastAsia="Times New Roman" w:hAnsi="Times New Roman" w:cs="Times New Roman"/>
      <w:sz w:val="24"/>
      <w:szCs w:val="20"/>
    </w:rPr>
  </w:style>
  <w:style w:type="paragraph" w:styleId="Heading7">
    <w:name w:val="heading 7"/>
    <w:basedOn w:val="Normal"/>
    <w:next w:val="Normal"/>
    <w:link w:val="Heading7Char"/>
    <w:uiPriority w:val="9"/>
    <w:semiHidden/>
    <w:unhideWhenUsed/>
    <w:qFormat/>
    <w:rsid w:val="00B81EB7"/>
    <w:pPr>
      <w:spacing w:before="240" w:after="60" w:line="240" w:lineRule="auto"/>
      <w:outlineLvl w:val="6"/>
    </w:pPr>
    <w:rPr>
      <w:rFonts w:ascii="Calibri" w:eastAsia="Times New Roman"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CCE"/>
    <w:pPr>
      <w:ind w:left="720"/>
      <w:contextualSpacing/>
    </w:pPr>
  </w:style>
  <w:style w:type="paragraph" w:styleId="NormalWeb">
    <w:name w:val="Normal (Web)"/>
    <w:basedOn w:val="Normal"/>
    <w:uiPriority w:val="99"/>
    <w:rsid w:val="009F7DF9"/>
    <w:pPr>
      <w:spacing w:before="100" w:after="100" w:line="240" w:lineRule="auto"/>
    </w:pPr>
    <w:rPr>
      <w:rFonts w:ascii="Times New Roman" w:eastAsia="Times New Roman" w:hAnsi="Times New Roman" w:cs="Times New Roman"/>
      <w:sz w:val="24"/>
      <w:szCs w:val="20"/>
      <w:lang w:val="en-GB"/>
    </w:rPr>
  </w:style>
  <w:style w:type="paragraph" w:customStyle="1" w:styleId="Default">
    <w:name w:val="Default"/>
    <w:rsid w:val="00F45CE0"/>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F45CE0"/>
    <w:rPr>
      <w:rFonts w:cstheme="minorBidi"/>
      <w:color w:val="auto"/>
    </w:rPr>
  </w:style>
  <w:style w:type="paragraph" w:customStyle="1" w:styleId="CM3">
    <w:name w:val="CM3"/>
    <w:basedOn w:val="Default"/>
    <w:next w:val="Default"/>
    <w:uiPriority w:val="99"/>
    <w:rsid w:val="00F45CE0"/>
    <w:rPr>
      <w:rFonts w:cstheme="minorBidi"/>
      <w:color w:val="auto"/>
    </w:rPr>
  </w:style>
  <w:style w:type="paragraph" w:customStyle="1" w:styleId="CM4">
    <w:name w:val="CM4"/>
    <w:basedOn w:val="Default"/>
    <w:next w:val="Default"/>
    <w:uiPriority w:val="99"/>
    <w:rsid w:val="00F45CE0"/>
    <w:rPr>
      <w:rFonts w:cstheme="minorBidi"/>
      <w:color w:val="auto"/>
    </w:rPr>
  </w:style>
  <w:style w:type="character" w:customStyle="1" w:styleId="Heading2Char">
    <w:name w:val="Heading 2 Char"/>
    <w:basedOn w:val="DefaultParagraphFont"/>
    <w:link w:val="Heading2"/>
    <w:rsid w:val="00853B37"/>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0239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3982"/>
    <w:rPr>
      <w:sz w:val="20"/>
      <w:szCs w:val="20"/>
    </w:rPr>
  </w:style>
  <w:style w:type="character" w:styleId="EndnoteReference">
    <w:name w:val="endnote reference"/>
    <w:basedOn w:val="DefaultParagraphFont"/>
    <w:uiPriority w:val="99"/>
    <w:semiHidden/>
    <w:unhideWhenUsed/>
    <w:rsid w:val="00023982"/>
    <w:rPr>
      <w:vertAlign w:val="superscript"/>
    </w:rPr>
  </w:style>
  <w:style w:type="paragraph" w:styleId="FootnoteText">
    <w:name w:val="footnote text"/>
    <w:basedOn w:val="Normal"/>
    <w:link w:val="FootnoteTextChar"/>
    <w:uiPriority w:val="99"/>
    <w:semiHidden/>
    <w:unhideWhenUsed/>
    <w:rsid w:val="00281F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1F71"/>
    <w:rPr>
      <w:sz w:val="20"/>
      <w:szCs w:val="20"/>
    </w:rPr>
  </w:style>
  <w:style w:type="character" w:styleId="FootnoteReference">
    <w:name w:val="footnote reference"/>
    <w:basedOn w:val="DefaultParagraphFont"/>
    <w:uiPriority w:val="99"/>
    <w:semiHidden/>
    <w:unhideWhenUsed/>
    <w:rsid w:val="00281F71"/>
    <w:rPr>
      <w:vertAlign w:val="superscript"/>
    </w:rPr>
  </w:style>
  <w:style w:type="table" w:styleId="TableGrid">
    <w:name w:val="Table Grid"/>
    <w:basedOn w:val="TableNormal"/>
    <w:uiPriority w:val="59"/>
    <w:rsid w:val="00441B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alNumPar1">
    <w:name w:val="Manual NumPar 1"/>
    <w:basedOn w:val="Normal"/>
    <w:next w:val="Normal"/>
    <w:rsid w:val="00441B70"/>
    <w:pPr>
      <w:spacing w:before="120" w:after="120" w:line="240" w:lineRule="auto"/>
      <w:ind w:left="850" w:hanging="850"/>
      <w:jc w:val="both"/>
    </w:pPr>
    <w:rPr>
      <w:rFonts w:ascii="Times New Roman" w:eastAsia="Times New Roman" w:hAnsi="Times New Roman" w:cs="Times New Roman"/>
      <w:sz w:val="24"/>
      <w:szCs w:val="24"/>
      <w:lang w:eastAsia="de-DE"/>
    </w:rPr>
  </w:style>
  <w:style w:type="paragraph" w:customStyle="1" w:styleId="Text1">
    <w:name w:val="Text 1"/>
    <w:basedOn w:val="Normal"/>
    <w:rsid w:val="00441B70"/>
    <w:pPr>
      <w:spacing w:before="120" w:after="120" w:line="240" w:lineRule="auto"/>
      <w:ind w:left="850"/>
      <w:jc w:val="both"/>
    </w:pPr>
    <w:rPr>
      <w:rFonts w:ascii="Times New Roman" w:eastAsia="Times New Roman" w:hAnsi="Times New Roman" w:cs="Times New Roman"/>
      <w:sz w:val="24"/>
      <w:szCs w:val="24"/>
      <w:lang w:eastAsia="de-DE"/>
    </w:rPr>
  </w:style>
  <w:style w:type="paragraph" w:styleId="CommentText">
    <w:name w:val="annotation text"/>
    <w:basedOn w:val="Normal"/>
    <w:link w:val="CommentTextChar"/>
    <w:uiPriority w:val="99"/>
    <w:semiHidden/>
    <w:unhideWhenUsed/>
    <w:rsid w:val="00BA336C"/>
    <w:pPr>
      <w:spacing w:line="240" w:lineRule="auto"/>
    </w:pPr>
    <w:rPr>
      <w:sz w:val="20"/>
      <w:szCs w:val="20"/>
    </w:rPr>
  </w:style>
  <w:style w:type="character" w:customStyle="1" w:styleId="CommentTextChar">
    <w:name w:val="Comment Text Char"/>
    <w:basedOn w:val="DefaultParagraphFont"/>
    <w:link w:val="CommentText"/>
    <w:uiPriority w:val="99"/>
    <w:semiHidden/>
    <w:rsid w:val="00BA336C"/>
    <w:rPr>
      <w:sz w:val="20"/>
      <w:szCs w:val="20"/>
    </w:rPr>
  </w:style>
  <w:style w:type="character" w:styleId="CommentReference">
    <w:name w:val="annotation reference"/>
    <w:basedOn w:val="DefaultParagraphFont"/>
    <w:uiPriority w:val="99"/>
    <w:semiHidden/>
    <w:unhideWhenUsed/>
    <w:rsid w:val="00BA336C"/>
    <w:rPr>
      <w:sz w:val="16"/>
      <w:szCs w:val="16"/>
    </w:rPr>
  </w:style>
  <w:style w:type="paragraph" w:styleId="BalloonText">
    <w:name w:val="Balloon Text"/>
    <w:basedOn w:val="Normal"/>
    <w:link w:val="BalloonTextChar"/>
    <w:uiPriority w:val="99"/>
    <w:semiHidden/>
    <w:unhideWhenUsed/>
    <w:rsid w:val="00BA3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36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37864"/>
    <w:rPr>
      <w:b/>
      <w:bCs/>
    </w:rPr>
  </w:style>
  <w:style w:type="character" w:customStyle="1" w:styleId="CommentSubjectChar">
    <w:name w:val="Comment Subject Char"/>
    <w:basedOn w:val="CommentTextChar"/>
    <w:link w:val="CommentSubject"/>
    <w:uiPriority w:val="99"/>
    <w:semiHidden/>
    <w:rsid w:val="00937864"/>
    <w:rPr>
      <w:b/>
      <w:bCs/>
      <w:sz w:val="20"/>
      <w:szCs w:val="20"/>
    </w:rPr>
  </w:style>
  <w:style w:type="paragraph" w:styleId="Header">
    <w:name w:val="header"/>
    <w:basedOn w:val="Normal"/>
    <w:link w:val="HeaderChar"/>
    <w:uiPriority w:val="99"/>
    <w:unhideWhenUsed/>
    <w:rsid w:val="000030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304E"/>
  </w:style>
  <w:style w:type="paragraph" w:styleId="Footer">
    <w:name w:val="footer"/>
    <w:basedOn w:val="Normal"/>
    <w:link w:val="FooterChar"/>
    <w:uiPriority w:val="99"/>
    <w:unhideWhenUsed/>
    <w:rsid w:val="000030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304E"/>
  </w:style>
  <w:style w:type="paragraph" w:customStyle="1" w:styleId="Normallv">
    <w:name w:val="Normal (lv)"/>
    <w:basedOn w:val="Normal"/>
    <w:rsid w:val="009244A4"/>
    <w:pPr>
      <w:spacing w:after="0" w:line="240" w:lineRule="auto"/>
      <w:ind w:firstLine="720"/>
      <w:jc w:val="both"/>
    </w:pPr>
    <w:rPr>
      <w:rFonts w:ascii="Times New Roman" w:eastAsia="Times New Roman" w:hAnsi="Times New Roman" w:cs="Times New Roman"/>
      <w:sz w:val="24"/>
      <w:szCs w:val="24"/>
    </w:rPr>
  </w:style>
  <w:style w:type="paragraph" w:customStyle="1" w:styleId="Heading2lv">
    <w:name w:val="Heading 2 (lv)"/>
    <w:basedOn w:val="Heading2"/>
    <w:next w:val="Normallv"/>
    <w:rsid w:val="009244A4"/>
    <w:pPr>
      <w:tabs>
        <w:tab w:val="clear" w:pos="7088"/>
      </w:tabs>
      <w:spacing w:before="240" w:after="240"/>
      <w:ind w:left="567" w:right="567"/>
    </w:pPr>
    <w:rPr>
      <w:rFonts w:ascii="Times New Roman Bold" w:hAnsi="Times New Roman Bold" w:cs="Arial"/>
      <w:b/>
      <w:bCs/>
      <w:iCs/>
      <w:sz w:val="28"/>
      <w:szCs w:val="28"/>
    </w:rPr>
  </w:style>
  <w:style w:type="paragraph" w:customStyle="1" w:styleId="Titleimageandtable">
    <w:name w:val="Title image and table"/>
    <w:basedOn w:val="Normal"/>
    <w:qFormat/>
    <w:rsid w:val="009244A4"/>
    <w:pPr>
      <w:keepNext/>
      <w:spacing w:before="120" w:after="120" w:line="240" w:lineRule="auto"/>
    </w:pPr>
    <w:rPr>
      <w:rFonts w:ascii="Times New Roman" w:hAnsi="Times New Roman" w:cs="Times New Roman"/>
      <w:b/>
      <w:sz w:val="20"/>
    </w:rPr>
  </w:style>
  <w:style w:type="paragraph" w:customStyle="1" w:styleId="CM111">
    <w:name w:val="CM1+11"/>
    <w:basedOn w:val="Default"/>
    <w:next w:val="Default"/>
    <w:uiPriority w:val="99"/>
    <w:rsid w:val="001066A3"/>
    <w:rPr>
      <w:rFonts w:cstheme="minorBidi"/>
      <w:color w:val="auto"/>
    </w:rPr>
  </w:style>
  <w:style w:type="table" w:styleId="LightShading-Accent1">
    <w:name w:val="Light Shading Accent 1"/>
    <w:basedOn w:val="TableNormal"/>
    <w:uiPriority w:val="60"/>
    <w:rsid w:val="00266E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semiHidden/>
    <w:unhideWhenUsed/>
    <w:rsid w:val="00CF1071"/>
    <w:rPr>
      <w:color w:val="0000FF"/>
      <w:u w:val="single"/>
    </w:rPr>
  </w:style>
  <w:style w:type="character" w:customStyle="1" w:styleId="field-content">
    <w:name w:val="field-content"/>
    <w:basedOn w:val="DefaultParagraphFont"/>
    <w:rsid w:val="00CF1071"/>
  </w:style>
  <w:style w:type="paragraph" w:customStyle="1" w:styleId="Teksts">
    <w:name w:val="Teksts"/>
    <w:basedOn w:val="Normal"/>
    <w:rsid w:val="00AC25DA"/>
    <w:pPr>
      <w:spacing w:after="0" w:line="240" w:lineRule="auto"/>
      <w:jc w:val="both"/>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B81EB7"/>
    <w:rPr>
      <w:rFonts w:ascii="Calibri" w:eastAsia="Times New Roman" w:hAnsi="Calibri" w:cs="Times New Roman"/>
      <w:sz w:val="24"/>
      <w:szCs w:val="24"/>
      <w:lang w:val="en-US"/>
    </w:rPr>
  </w:style>
  <w:style w:type="paragraph" w:styleId="BodyText2">
    <w:name w:val="Body Text 2"/>
    <w:basedOn w:val="Normal"/>
    <w:link w:val="BodyText2Char"/>
    <w:semiHidden/>
    <w:unhideWhenUsed/>
    <w:rsid w:val="00B81EB7"/>
    <w:pPr>
      <w:snapToGrid w:val="0"/>
      <w:spacing w:after="0" w:line="240" w:lineRule="auto"/>
    </w:pPr>
    <w:rPr>
      <w:rFonts w:ascii="Times New Roman" w:eastAsia="Times New Roman" w:hAnsi="Times New Roman" w:cs="Times New Roman"/>
      <w:sz w:val="16"/>
      <w:szCs w:val="20"/>
    </w:rPr>
  </w:style>
  <w:style w:type="character" w:customStyle="1" w:styleId="BodyText2Char">
    <w:name w:val="Body Text 2 Char"/>
    <w:basedOn w:val="DefaultParagraphFont"/>
    <w:link w:val="BodyText2"/>
    <w:semiHidden/>
    <w:rsid w:val="00B81EB7"/>
    <w:rPr>
      <w:rFonts w:ascii="Times New Roman" w:eastAsia="Times New Roman" w:hAnsi="Times New Roman" w:cs="Times New Roman"/>
      <w:sz w:val="16"/>
      <w:szCs w:val="20"/>
    </w:rPr>
  </w:style>
  <w:style w:type="paragraph" w:customStyle="1" w:styleId="ti-art">
    <w:name w:val="ti-art"/>
    <w:basedOn w:val="Normal"/>
    <w:rsid w:val="00137D9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i-art">
    <w:name w:val="sti-art"/>
    <w:basedOn w:val="Normal"/>
    <w:rsid w:val="00137D9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1">
    <w:name w:val="Normal1"/>
    <w:basedOn w:val="Normal"/>
    <w:rsid w:val="00137D9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137D9D"/>
    <w:pPr>
      <w:spacing w:after="0" w:line="240" w:lineRule="auto"/>
    </w:pPr>
  </w:style>
  <w:style w:type="character" w:customStyle="1" w:styleId="apple-converted-space">
    <w:name w:val="apple-converted-space"/>
    <w:basedOn w:val="DefaultParagraphFont"/>
    <w:rsid w:val="005D74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53B37"/>
    <w:pPr>
      <w:keepNext/>
      <w:tabs>
        <w:tab w:val="left" w:pos="7088"/>
      </w:tabs>
      <w:spacing w:after="0" w:line="240" w:lineRule="auto"/>
      <w:jc w:val="center"/>
      <w:outlineLvl w:val="1"/>
    </w:pPr>
    <w:rPr>
      <w:rFonts w:ascii="Times New Roman" w:eastAsia="Times New Roman" w:hAnsi="Times New Roman" w:cs="Times New Roman"/>
      <w:sz w:val="24"/>
      <w:szCs w:val="20"/>
    </w:rPr>
  </w:style>
  <w:style w:type="paragraph" w:styleId="Heading7">
    <w:name w:val="heading 7"/>
    <w:basedOn w:val="Normal"/>
    <w:next w:val="Normal"/>
    <w:link w:val="Heading7Char"/>
    <w:uiPriority w:val="9"/>
    <w:semiHidden/>
    <w:unhideWhenUsed/>
    <w:qFormat/>
    <w:rsid w:val="00B81EB7"/>
    <w:pPr>
      <w:spacing w:before="240" w:after="60" w:line="240" w:lineRule="auto"/>
      <w:outlineLvl w:val="6"/>
    </w:pPr>
    <w:rPr>
      <w:rFonts w:ascii="Calibri" w:eastAsia="Times New Roman"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CCE"/>
    <w:pPr>
      <w:ind w:left="720"/>
      <w:contextualSpacing/>
    </w:pPr>
  </w:style>
  <w:style w:type="paragraph" w:styleId="NormalWeb">
    <w:name w:val="Normal (Web)"/>
    <w:basedOn w:val="Normal"/>
    <w:uiPriority w:val="99"/>
    <w:rsid w:val="009F7DF9"/>
    <w:pPr>
      <w:spacing w:before="100" w:after="100" w:line="240" w:lineRule="auto"/>
    </w:pPr>
    <w:rPr>
      <w:rFonts w:ascii="Times New Roman" w:eastAsia="Times New Roman" w:hAnsi="Times New Roman" w:cs="Times New Roman"/>
      <w:sz w:val="24"/>
      <w:szCs w:val="20"/>
      <w:lang w:val="en-GB"/>
    </w:rPr>
  </w:style>
  <w:style w:type="paragraph" w:customStyle="1" w:styleId="Default">
    <w:name w:val="Default"/>
    <w:rsid w:val="00F45CE0"/>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F45CE0"/>
    <w:rPr>
      <w:rFonts w:cstheme="minorBidi"/>
      <w:color w:val="auto"/>
    </w:rPr>
  </w:style>
  <w:style w:type="paragraph" w:customStyle="1" w:styleId="CM3">
    <w:name w:val="CM3"/>
    <w:basedOn w:val="Default"/>
    <w:next w:val="Default"/>
    <w:uiPriority w:val="99"/>
    <w:rsid w:val="00F45CE0"/>
    <w:rPr>
      <w:rFonts w:cstheme="minorBidi"/>
      <w:color w:val="auto"/>
    </w:rPr>
  </w:style>
  <w:style w:type="paragraph" w:customStyle="1" w:styleId="CM4">
    <w:name w:val="CM4"/>
    <w:basedOn w:val="Default"/>
    <w:next w:val="Default"/>
    <w:uiPriority w:val="99"/>
    <w:rsid w:val="00F45CE0"/>
    <w:rPr>
      <w:rFonts w:cstheme="minorBidi"/>
      <w:color w:val="auto"/>
    </w:rPr>
  </w:style>
  <w:style w:type="character" w:customStyle="1" w:styleId="Heading2Char">
    <w:name w:val="Heading 2 Char"/>
    <w:basedOn w:val="DefaultParagraphFont"/>
    <w:link w:val="Heading2"/>
    <w:rsid w:val="00853B37"/>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0239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3982"/>
    <w:rPr>
      <w:sz w:val="20"/>
      <w:szCs w:val="20"/>
    </w:rPr>
  </w:style>
  <w:style w:type="character" w:styleId="EndnoteReference">
    <w:name w:val="endnote reference"/>
    <w:basedOn w:val="DefaultParagraphFont"/>
    <w:uiPriority w:val="99"/>
    <w:semiHidden/>
    <w:unhideWhenUsed/>
    <w:rsid w:val="00023982"/>
    <w:rPr>
      <w:vertAlign w:val="superscript"/>
    </w:rPr>
  </w:style>
  <w:style w:type="paragraph" w:styleId="FootnoteText">
    <w:name w:val="footnote text"/>
    <w:basedOn w:val="Normal"/>
    <w:link w:val="FootnoteTextChar"/>
    <w:uiPriority w:val="99"/>
    <w:semiHidden/>
    <w:unhideWhenUsed/>
    <w:rsid w:val="00281F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1F71"/>
    <w:rPr>
      <w:sz w:val="20"/>
      <w:szCs w:val="20"/>
    </w:rPr>
  </w:style>
  <w:style w:type="character" w:styleId="FootnoteReference">
    <w:name w:val="footnote reference"/>
    <w:basedOn w:val="DefaultParagraphFont"/>
    <w:uiPriority w:val="99"/>
    <w:semiHidden/>
    <w:unhideWhenUsed/>
    <w:rsid w:val="00281F71"/>
    <w:rPr>
      <w:vertAlign w:val="superscript"/>
    </w:rPr>
  </w:style>
  <w:style w:type="table" w:styleId="TableGrid">
    <w:name w:val="Table Grid"/>
    <w:basedOn w:val="TableNormal"/>
    <w:uiPriority w:val="59"/>
    <w:rsid w:val="00441B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alNumPar1">
    <w:name w:val="Manual NumPar 1"/>
    <w:basedOn w:val="Normal"/>
    <w:next w:val="Normal"/>
    <w:rsid w:val="00441B70"/>
    <w:pPr>
      <w:spacing w:before="120" w:after="120" w:line="240" w:lineRule="auto"/>
      <w:ind w:left="850" w:hanging="850"/>
      <w:jc w:val="both"/>
    </w:pPr>
    <w:rPr>
      <w:rFonts w:ascii="Times New Roman" w:eastAsia="Times New Roman" w:hAnsi="Times New Roman" w:cs="Times New Roman"/>
      <w:sz w:val="24"/>
      <w:szCs w:val="24"/>
      <w:lang w:eastAsia="de-DE"/>
    </w:rPr>
  </w:style>
  <w:style w:type="paragraph" w:customStyle="1" w:styleId="Text1">
    <w:name w:val="Text 1"/>
    <w:basedOn w:val="Normal"/>
    <w:rsid w:val="00441B70"/>
    <w:pPr>
      <w:spacing w:before="120" w:after="120" w:line="240" w:lineRule="auto"/>
      <w:ind w:left="850"/>
      <w:jc w:val="both"/>
    </w:pPr>
    <w:rPr>
      <w:rFonts w:ascii="Times New Roman" w:eastAsia="Times New Roman" w:hAnsi="Times New Roman" w:cs="Times New Roman"/>
      <w:sz w:val="24"/>
      <w:szCs w:val="24"/>
      <w:lang w:eastAsia="de-DE"/>
    </w:rPr>
  </w:style>
  <w:style w:type="paragraph" w:styleId="CommentText">
    <w:name w:val="annotation text"/>
    <w:basedOn w:val="Normal"/>
    <w:link w:val="CommentTextChar"/>
    <w:uiPriority w:val="99"/>
    <w:semiHidden/>
    <w:unhideWhenUsed/>
    <w:rsid w:val="00BA336C"/>
    <w:pPr>
      <w:spacing w:line="240" w:lineRule="auto"/>
    </w:pPr>
    <w:rPr>
      <w:sz w:val="20"/>
      <w:szCs w:val="20"/>
    </w:rPr>
  </w:style>
  <w:style w:type="character" w:customStyle="1" w:styleId="CommentTextChar">
    <w:name w:val="Comment Text Char"/>
    <w:basedOn w:val="DefaultParagraphFont"/>
    <w:link w:val="CommentText"/>
    <w:uiPriority w:val="99"/>
    <w:semiHidden/>
    <w:rsid w:val="00BA336C"/>
    <w:rPr>
      <w:sz w:val="20"/>
      <w:szCs w:val="20"/>
    </w:rPr>
  </w:style>
  <w:style w:type="character" w:styleId="CommentReference">
    <w:name w:val="annotation reference"/>
    <w:basedOn w:val="DefaultParagraphFont"/>
    <w:uiPriority w:val="99"/>
    <w:semiHidden/>
    <w:unhideWhenUsed/>
    <w:rsid w:val="00BA336C"/>
    <w:rPr>
      <w:sz w:val="16"/>
      <w:szCs w:val="16"/>
    </w:rPr>
  </w:style>
  <w:style w:type="paragraph" w:styleId="BalloonText">
    <w:name w:val="Balloon Text"/>
    <w:basedOn w:val="Normal"/>
    <w:link w:val="BalloonTextChar"/>
    <w:uiPriority w:val="99"/>
    <w:semiHidden/>
    <w:unhideWhenUsed/>
    <w:rsid w:val="00BA3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36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37864"/>
    <w:rPr>
      <w:b/>
      <w:bCs/>
    </w:rPr>
  </w:style>
  <w:style w:type="character" w:customStyle="1" w:styleId="CommentSubjectChar">
    <w:name w:val="Comment Subject Char"/>
    <w:basedOn w:val="CommentTextChar"/>
    <w:link w:val="CommentSubject"/>
    <w:uiPriority w:val="99"/>
    <w:semiHidden/>
    <w:rsid w:val="00937864"/>
    <w:rPr>
      <w:b/>
      <w:bCs/>
      <w:sz w:val="20"/>
      <w:szCs w:val="20"/>
    </w:rPr>
  </w:style>
  <w:style w:type="paragraph" w:styleId="Header">
    <w:name w:val="header"/>
    <w:basedOn w:val="Normal"/>
    <w:link w:val="HeaderChar"/>
    <w:uiPriority w:val="99"/>
    <w:unhideWhenUsed/>
    <w:rsid w:val="000030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304E"/>
  </w:style>
  <w:style w:type="paragraph" w:styleId="Footer">
    <w:name w:val="footer"/>
    <w:basedOn w:val="Normal"/>
    <w:link w:val="FooterChar"/>
    <w:uiPriority w:val="99"/>
    <w:unhideWhenUsed/>
    <w:rsid w:val="000030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304E"/>
  </w:style>
  <w:style w:type="paragraph" w:customStyle="1" w:styleId="Normallv">
    <w:name w:val="Normal (lv)"/>
    <w:basedOn w:val="Normal"/>
    <w:rsid w:val="009244A4"/>
    <w:pPr>
      <w:spacing w:after="0" w:line="240" w:lineRule="auto"/>
      <w:ind w:firstLine="720"/>
      <w:jc w:val="both"/>
    </w:pPr>
    <w:rPr>
      <w:rFonts w:ascii="Times New Roman" w:eastAsia="Times New Roman" w:hAnsi="Times New Roman" w:cs="Times New Roman"/>
      <w:sz w:val="24"/>
      <w:szCs w:val="24"/>
    </w:rPr>
  </w:style>
  <w:style w:type="paragraph" w:customStyle="1" w:styleId="Heading2lv">
    <w:name w:val="Heading 2 (lv)"/>
    <w:basedOn w:val="Heading2"/>
    <w:next w:val="Normallv"/>
    <w:rsid w:val="009244A4"/>
    <w:pPr>
      <w:tabs>
        <w:tab w:val="clear" w:pos="7088"/>
      </w:tabs>
      <w:spacing w:before="240" w:after="240"/>
      <w:ind w:left="567" w:right="567"/>
    </w:pPr>
    <w:rPr>
      <w:rFonts w:ascii="Times New Roman Bold" w:hAnsi="Times New Roman Bold" w:cs="Arial"/>
      <w:b/>
      <w:bCs/>
      <w:iCs/>
      <w:sz w:val="28"/>
      <w:szCs w:val="28"/>
    </w:rPr>
  </w:style>
  <w:style w:type="paragraph" w:customStyle="1" w:styleId="Titleimageandtable">
    <w:name w:val="Title image and table"/>
    <w:basedOn w:val="Normal"/>
    <w:qFormat/>
    <w:rsid w:val="009244A4"/>
    <w:pPr>
      <w:keepNext/>
      <w:spacing w:before="120" w:after="120" w:line="240" w:lineRule="auto"/>
    </w:pPr>
    <w:rPr>
      <w:rFonts w:ascii="Times New Roman" w:hAnsi="Times New Roman" w:cs="Times New Roman"/>
      <w:b/>
      <w:sz w:val="20"/>
    </w:rPr>
  </w:style>
  <w:style w:type="paragraph" w:customStyle="1" w:styleId="CM111">
    <w:name w:val="CM1+11"/>
    <w:basedOn w:val="Default"/>
    <w:next w:val="Default"/>
    <w:uiPriority w:val="99"/>
    <w:rsid w:val="001066A3"/>
    <w:rPr>
      <w:rFonts w:cstheme="minorBidi"/>
      <w:color w:val="auto"/>
    </w:rPr>
  </w:style>
  <w:style w:type="table" w:styleId="LightShading-Accent1">
    <w:name w:val="Light Shading Accent 1"/>
    <w:basedOn w:val="TableNormal"/>
    <w:uiPriority w:val="60"/>
    <w:rsid w:val="00266E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semiHidden/>
    <w:unhideWhenUsed/>
    <w:rsid w:val="00CF1071"/>
    <w:rPr>
      <w:color w:val="0000FF"/>
      <w:u w:val="single"/>
    </w:rPr>
  </w:style>
  <w:style w:type="character" w:customStyle="1" w:styleId="field-content">
    <w:name w:val="field-content"/>
    <w:basedOn w:val="DefaultParagraphFont"/>
    <w:rsid w:val="00CF1071"/>
  </w:style>
  <w:style w:type="paragraph" w:customStyle="1" w:styleId="Teksts">
    <w:name w:val="Teksts"/>
    <w:basedOn w:val="Normal"/>
    <w:rsid w:val="00AC25DA"/>
    <w:pPr>
      <w:spacing w:after="0" w:line="240" w:lineRule="auto"/>
      <w:jc w:val="both"/>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B81EB7"/>
    <w:rPr>
      <w:rFonts w:ascii="Calibri" w:eastAsia="Times New Roman" w:hAnsi="Calibri" w:cs="Times New Roman"/>
      <w:sz w:val="24"/>
      <w:szCs w:val="24"/>
      <w:lang w:val="en-US"/>
    </w:rPr>
  </w:style>
  <w:style w:type="paragraph" w:styleId="BodyText2">
    <w:name w:val="Body Text 2"/>
    <w:basedOn w:val="Normal"/>
    <w:link w:val="BodyText2Char"/>
    <w:semiHidden/>
    <w:unhideWhenUsed/>
    <w:rsid w:val="00B81EB7"/>
    <w:pPr>
      <w:snapToGrid w:val="0"/>
      <w:spacing w:after="0" w:line="240" w:lineRule="auto"/>
    </w:pPr>
    <w:rPr>
      <w:rFonts w:ascii="Times New Roman" w:eastAsia="Times New Roman" w:hAnsi="Times New Roman" w:cs="Times New Roman"/>
      <w:sz w:val="16"/>
      <w:szCs w:val="20"/>
    </w:rPr>
  </w:style>
  <w:style w:type="character" w:customStyle="1" w:styleId="BodyText2Char">
    <w:name w:val="Body Text 2 Char"/>
    <w:basedOn w:val="DefaultParagraphFont"/>
    <w:link w:val="BodyText2"/>
    <w:semiHidden/>
    <w:rsid w:val="00B81EB7"/>
    <w:rPr>
      <w:rFonts w:ascii="Times New Roman" w:eastAsia="Times New Roman" w:hAnsi="Times New Roman" w:cs="Times New Roman"/>
      <w:sz w:val="16"/>
      <w:szCs w:val="20"/>
    </w:rPr>
  </w:style>
  <w:style w:type="paragraph" w:customStyle="1" w:styleId="ti-art">
    <w:name w:val="ti-art"/>
    <w:basedOn w:val="Normal"/>
    <w:rsid w:val="00137D9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i-art">
    <w:name w:val="sti-art"/>
    <w:basedOn w:val="Normal"/>
    <w:rsid w:val="00137D9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1">
    <w:name w:val="Normal1"/>
    <w:basedOn w:val="Normal"/>
    <w:rsid w:val="00137D9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137D9D"/>
    <w:pPr>
      <w:spacing w:after="0" w:line="240" w:lineRule="auto"/>
    </w:pPr>
  </w:style>
  <w:style w:type="character" w:customStyle="1" w:styleId="apple-converted-space">
    <w:name w:val="apple-converted-space"/>
    <w:basedOn w:val="DefaultParagraphFont"/>
    <w:rsid w:val="005D7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12137">
      <w:bodyDiv w:val="1"/>
      <w:marLeft w:val="0"/>
      <w:marRight w:val="0"/>
      <w:marTop w:val="0"/>
      <w:marBottom w:val="0"/>
      <w:divBdr>
        <w:top w:val="none" w:sz="0" w:space="0" w:color="auto"/>
        <w:left w:val="none" w:sz="0" w:space="0" w:color="auto"/>
        <w:bottom w:val="none" w:sz="0" w:space="0" w:color="auto"/>
        <w:right w:val="none" w:sz="0" w:space="0" w:color="auto"/>
      </w:divBdr>
    </w:div>
    <w:div w:id="380523702">
      <w:bodyDiv w:val="1"/>
      <w:marLeft w:val="0"/>
      <w:marRight w:val="0"/>
      <w:marTop w:val="0"/>
      <w:marBottom w:val="0"/>
      <w:divBdr>
        <w:top w:val="none" w:sz="0" w:space="0" w:color="auto"/>
        <w:left w:val="none" w:sz="0" w:space="0" w:color="auto"/>
        <w:bottom w:val="none" w:sz="0" w:space="0" w:color="auto"/>
        <w:right w:val="none" w:sz="0" w:space="0" w:color="auto"/>
      </w:divBdr>
    </w:div>
    <w:div w:id="610476577">
      <w:bodyDiv w:val="1"/>
      <w:marLeft w:val="0"/>
      <w:marRight w:val="0"/>
      <w:marTop w:val="0"/>
      <w:marBottom w:val="0"/>
      <w:divBdr>
        <w:top w:val="none" w:sz="0" w:space="0" w:color="auto"/>
        <w:left w:val="none" w:sz="0" w:space="0" w:color="auto"/>
        <w:bottom w:val="none" w:sz="0" w:space="0" w:color="auto"/>
        <w:right w:val="none" w:sz="0" w:space="0" w:color="auto"/>
      </w:divBdr>
    </w:div>
    <w:div w:id="733772202">
      <w:bodyDiv w:val="1"/>
      <w:marLeft w:val="0"/>
      <w:marRight w:val="0"/>
      <w:marTop w:val="0"/>
      <w:marBottom w:val="0"/>
      <w:divBdr>
        <w:top w:val="none" w:sz="0" w:space="0" w:color="auto"/>
        <w:left w:val="none" w:sz="0" w:space="0" w:color="auto"/>
        <w:bottom w:val="none" w:sz="0" w:space="0" w:color="auto"/>
        <w:right w:val="none" w:sz="0" w:space="0" w:color="auto"/>
      </w:divBdr>
      <w:divsChild>
        <w:div w:id="1067605096">
          <w:marLeft w:val="0"/>
          <w:marRight w:val="0"/>
          <w:marTop w:val="0"/>
          <w:marBottom w:val="0"/>
          <w:divBdr>
            <w:top w:val="none" w:sz="0" w:space="0" w:color="auto"/>
            <w:left w:val="none" w:sz="0" w:space="0" w:color="auto"/>
            <w:bottom w:val="none" w:sz="0" w:space="0" w:color="auto"/>
            <w:right w:val="none" w:sz="0" w:space="0" w:color="auto"/>
          </w:divBdr>
          <w:divsChild>
            <w:div w:id="1350571375">
              <w:marLeft w:val="0"/>
              <w:marRight w:val="0"/>
              <w:marTop w:val="0"/>
              <w:marBottom w:val="0"/>
              <w:divBdr>
                <w:top w:val="none" w:sz="0" w:space="0" w:color="auto"/>
                <w:left w:val="none" w:sz="0" w:space="0" w:color="auto"/>
                <w:bottom w:val="none" w:sz="0" w:space="0" w:color="auto"/>
                <w:right w:val="none" w:sz="0" w:space="0" w:color="auto"/>
              </w:divBdr>
              <w:divsChild>
                <w:div w:id="2094861465">
                  <w:marLeft w:val="0"/>
                  <w:marRight w:val="0"/>
                  <w:marTop w:val="0"/>
                  <w:marBottom w:val="0"/>
                  <w:divBdr>
                    <w:top w:val="none" w:sz="0" w:space="0" w:color="auto"/>
                    <w:left w:val="none" w:sz="0" w:space="0" w:color="auto"/>
                    <w:bottom w:val="none" w:sz="0" w:space="0" w:color="auto"/>
                    <w:right w:val="none" w:sz="0" w:space="0" w:color="auto"/>
                  </w:divBdr>
                  <w:divsChild>
                    <w:div w:id="1672222912">
                      <w:marLeft w:val="0"/>
                      <w:marRight w:val="0"/>
                      <w:marTop w:val="0"/>
                      <w:marBottom w:val="0"/>
                      <w:divBdr>
                        <w:top w:val="none" w:sz="0" w:space="0" w:color="auto"/>
                        <w:left w:val="none" w:sz="0" w:space="0" w:color="auto"/>
                        <w:bottom w:val="none" w:sz="0" w:space="0" w:color="auto"/>
                        <w:right w:val="none" w:sz="0" w:space="0" w:color="auto"/>
                      </w:divBdr>
                      <w:divsChild>
                        <w:div w:id="1372539401">
                          <w:marLeft w:val="0"/>
                          <w:marRight w:val="0"/>
                          <w:marTop w:val="0"/>
                          <w:marBottom w:val="0"/>
                          <w:divBdr>
                            <w:top w:val="none" w:sz="0" w:space="0" w:color="auto"/>
                            <w:left w:val="none" w:sz="0" w:space="0" w:color="auto"/>
                            <w:bottom w:val="none" w:sz="0" w:space="0" w:color="auto"/>
                            <w:right w:val="none" w:sz="0" w:space="0" w:color="auto"/>
                          </w:divBdr>
                          <w:divsChild>
                            <w:div w:id="971323391">
                              <w:marLeft w:val="0"/>
                              <w:marRight w:val="0"/>
                              <w:marTop w:val="0"/>
                              <w:marBottom w:val="0"/>
                              <w:divBdr>
                                <w:top w:val="none" w:sz="0" w:space="0" w:color="auto"/>
                                <w:left w:val="none" w:sz="0" w:space="0" w:color="auto"/>
                                <w:bottom w:val="none" w:sz="0" w:space="0" w:color="auto"/>
                                <w:right w:val="none" w:sz="0" w:space="0" w:color="auto"/>
                              </w:divBdr>
                              <w:divsChild>
                                <w:div w:id="553927116">
                                  <w:marLeft w:val="0"/>
                                  <w:marRight w:val="0"/>
                                  <w:marTop w:val="0"/>
                                  <w:marBottom w:val="0"/>
                                  <w:divBdr>
                                    <w:top w:val="none" w:sz="0" w:space="0" w:color="auto"/>
                                    <w:left w:val="none" w:sz="0" w:space="0" w:color="auto"/>
                                    <w:bottom w:val="none" w:sz="0" w:space="0" w:color="auto"/>
                                    <w:right w:val="none" w:sz="0" w:space="0" w:color="auto"/>
                                  </w:divBdr>
                                  <w:divsChild>
                                    <w:div w:id="2063209467">
                                      <w:marLeft w:val="0"/>
                                      <w:marRight w:val="0"/>
                                      <w:marTop w:val="0"/>
                                      <w:marBottom w:val="0"/>
                                      <w:divBdr>
                                        <w:top w:val="none" w:sz="0" w:space="0" w:color="auto"/>
                                        <w:left w:val="none" w:sz="0" w:space="0" w:color="auto"/>
                                        <w:bottom w:val="none" w:sz="0" w:space="0" w:color="auto"/>
                                        <w:right w:val="none" w:sz="0" w:space="0" w:color="auto"/>
                                      </w:divBdr>
                                      <w:divsChild>
                                        <w:div w:id="448821663">
                                          <w:marLeft w:val="0"/>
                                          <w:marRight w:val="0"/>
                                          <w:marTop w:val="0"/>
                                          <w:marBottom w:val="0"/>
                                          <w:divBdr>
                                            <w:top w:val="none" w:sz="0" w:space="0" w:color="auto"/>
                                            <w:left w:val="none" w:sz="0" w:space="0" w:color="auto"/>
                                            <w:bottom w:val="none" w:sz="0" w:space="0" w:color="auto"/>
                                            <w:right w:val="none" w:sz="0" w:space="0" w:color="auto"/>
                                          </w:divBdr>
                                          <w:divsChild>
                                            <w:div w:id="244581263">
                                              <w:marLeft w:val="0"/>
                                              <w:marRight w:val="0"/>
                                              <w:marTop w:val="0"/>
                                              <w:marBottom w:val="0"/>
                                              <w:divBdr>
                                                <w:top w:val="none" w:sz="0" w:space="0" w:color="auto"/>
                                                <w:left w:val="none" w:sz="0" w:space="0" w:color="auto"/>
                                                <w:bottom w:val="none" w:sz="0" w:space="0" w:color="auto"/>
                                                <w:right w:val="none" w:sz="0" w:space="0" w:color="auto"/>
                                              </w:divBdr>
                                              <w:divsChild>
                                                <w:div w:id="2130002322">
                                                  <w:marLeft w:val="0"/>
                                                  <w:marRight w:val="0"/>
                                                  <w:marTop w:val="0"/>
                                                  <w:marBottom w:val="0"/>
                                                  <w:divBdr>
                                                    <w:top w:val="none" w:sz="0" w:space="0" w:color="auto"/>
                                                    <w:left w:val="none" w:sz="0" w:space="0" w:color="auto"/>
                                                    <w:bottom w:val="none" w:sz="0" w:space="0" w:color="auto"/>
                                                    <w:right w:val="none" w:sz="0" w:space="0" w:color="auto"/>
                                                  </w:divBdr>
                                                  <w:divsChild>
                                                    <w:div w:id="1632662940">
                                                      <w:marLeft w:val="0"/>
                                                      <w:marRight w:val="0"/>
                                                      <w:marTop w:val="0"/>
                                                      <w:marBottom w:val="0"/>
                                                      <w:divBdr>
                                                        <w:top w:val="none" w:sz="0" w:space="0" w:color="auto"/>
                                                        <w:left w:val="none" w:sz="0" w:space="0" w:color="auto"/>
                                                        <w:bottom w:val="none" w:sz="0" w:space="0" w:color="auto"/>
                                                        <w:right w:val="none" w:sz="0" w:space="0" w:color="auto"/>
                                                      </w:divBdr>
                                                      <w:divsChild>
                                                        <w:div w:id="2000378335">
                                                          <w:marLeft w:val="0"/>
                                                          <w:marRight w:val="0"/>
                                                          <w:marTop w:val="0"/>
                                                          <w:marBottom w:val="0"/>
                                                          <w:divBdr>
                                                            <w:top w:val="none" w:sz="0" w:space="0" w:color="auto"/>
                                                            <w:left w:val="none" w:sz="0" w:space="0" w:color="auto"/>
                                                            <w:bottom w:val="none" w:sz="0" w:space="0" w:color="auto"/>
                                                            <w:right w:val="none" w:sz="0" w:space="0" w:color="auto"/>
                                                          </w:divBdr>
                                                          <w:divsChild>
                                                            <w:div w:id="1007054285">
                                                              <w:marLeft w:val="0"/>
                                                              <w:marRight w:val="0"/>
                                                              <w:marTop w:val="0"/>
                                                              <w:marBottom w:val="0"/>
                                                              <w:divBdr>
                                                                <w:top w:val="none" w:sz="0" w:space="0" w:color="auto"/>
                                                                <w:left w:val="none" w:sz="0" w:space="0" w:color="auto"/>
                                                                <w:bottom w:val="none" w:sz="0" w:space="0" w:color="auto"/>
                                                                <w:right w:val="none" w:sz="0" w:space="0" w:color="auto"/>
                                                              </w:divBdr>
                                                              <w:divsChild>
                                                                <w:div w:id="1892884720">
                                                                  <w:marLeft w:val="0"/>
                                                                  <w:marRight w:val="0"/>
                                                                  <w:marTop w:val="0"/>
                                                                  <w:marBottom w:val="0"/>
                                                                  <w:divBdr>
                                                                    <w:top w:val="none" w:sz="0" w:space="0" w:color="auto"/>
                                                                    <w:left w:val="none" w:sz="0" w:space="0" w:color="auto"/>
                                                                    <w:bottom w:val="none" w:sz="0" w:space="0" w:color="auto"/>
                                                                    <w:right w:val="none" w:sz="0" w:space="0" w:color="auto"/>
                                                                  </w:divBdr>
                                                                  <w:divsChild>
                                                                    <w:div w:id="338434109">
                                                                      <w:marLeft w:val="0"/>
                                                                      <w:marRight w:val="0"/>
                                                                      <w:marTop w:val="0"/>
                                                                      <w:marBottom w:val="0"/>
                                                                      <w:divBdr>
                                                                        <w:top w:val="none" w:sz="0" w:space="0" w:color="auto"/>
                                                                        <w:left w:val="none" w:sz="0" w:space="0" w:color="auto"/>
                                                                        <w:bottom w:val="none" w:sz="0" w:space="0" w:color="auto"/>
                                                                        <w:right w:val="none" w:sz="0" w:space="0" w:color="auto"/>
                                                                      </w:divBdr>
                                                                      <w:divsChild>
                                                                        <w:div w:id="627132031">
                                                                          <w:marLeft w:val="0"/>
                                                                          <w:marRight w:val="0"/>
                                                                          <w:marTop w:val="0"/>
                                                                          <w:marBottom w:val="0"/>
                                                                          <w:divBdr>
                                                                            <w:top w:val="none" w:sz="0" w:space="0" w:color="auto"/>
                                                                            <w:left w:val="none" w:sz="0" w:space="0" w:color="auto"/>
                                                                            <w:bottom w:val="none" w:sz="0" w:space="0" w:color="auto"/>
                                                                            <w:right w:val="none" w:sz="0" w:space="0" w:color="auto"/>
                                                                          </w:divBdr>
                                                                          <w:divsChild>
                                                                            <w:div w:id="1183086765">
                                                                              <w:marLeft w:val="0"/>
                                                                              <w:marRight w:val="0"/>
                                                                              <w:marTop w:val="0"/>
                                                                              <w:marBottom w:val="0"/>
                                                                              <w:divBdr>
                                                                                <w:top w:val="none" w:sz="0" w:space="0" w:color="auto"/>
                                                                                <w:left w:val="none" w:sz="0" w:space="0" w:color="auto"/>
                                                                                <w:bottom w:val="none" w:sz="0" w:space="0" w:color="auto"/>
                                                                                <w:right w:val="none" w:sz="0" w:space="0" w:color="auto"/>
                                                                              </w:divBdr>
                                                                              <w:divsChild>
                                                                                <w:div w:id="351151549">
                                                                                  <w:marLeft w:val="0"/>
                                                                                  <w:marRight w:val="0"/>
                                                                                  <w:marTop w:val="0"/>
                                                                                  <w:marBottom w:val="0"/>
                                                                                  <w:divBdr>
                                                                                    <w:top w:val="none" w:sz="0" w:space="0" w:color="auto"/>
                                                                                    <w:left w:val="none" w:sz="0" w:space="0" w:color="auto"/>
                                                                                    <w:bottom w:val="none" w:sz="0" w:space="0" w:color="auto"/>
                                                                                    <w:right w:val="none" w:sz="0" w:space="0" w:color="auto"/>
                                                                                  </w:divBdr>
                                                                                  <w:divsChild>
                                                                                    <w:div w:id="2065176351">
                                                                                      <w:marLeft w:val="0"/>
                                                                                      <w:marRight w:val="0"/>
                                                                                      <w:marTop w:val="0"/>
                                                                                      <w:marBottom w:val="0"/>
                                                                                      <w:divBdr>
                                                                                        <w:top w:val="none" w:sz="0" w:space="0" w:color="auto"/>
                                                                                        <w:left w:val="none" w:sz="0" w:space="0" w:color="auto"/>
                                                                                        <w:bottom w:val="none" w:sz="0" w:space="0" w:color="auto"/>
                                                                                        <w:right w:val="none" w:sz="0" w:space="0" w:color="auto"/>
                                                                                      </w:divBdr>
                                                                                      <w:divsChild>
                                                                                        <w:div w:id="449864569">
                                                                                          <w:marLeft w:val="0"/>
                                                                                          <w:marRight w:val="0"/>
                                                                                          <w:marTop w:val="0"/>
                                                                                          <w:marBottom w:val="0"/>
                                                                                          <w:divBdr>
                                                                                            <w:top w:val="none" w:sz="0" w:space="0" w:color="auto"/>
                                                                                            <w:left w:val="none" w:sz="0" w:space="0" w:color="auto"/>
                                                                                            <w:bottom w:val="none" w:sz="0" w:space="0" w:color="auto"/>
                                                                                            <w:right w:val="none" w:sz="0" w:space="0" w:color="auto"/>
                                                                                          </w:divBdr>
                                                                                        </w:div>
                                                                                        <w:div w:id="466053240">
                                                                                          <w:marLeft w:val="0"/>
                                                                                          <w:marRight w:val="0"/>
                                                                                          <w:marTop w:val="0"/>
                                                                                          <w:marBottom w:val="0"/>
                                                                                          <w:divBdr>
                                                                                            <w:top w:val="none" w:sz="0" w:space="0" w:color="auto"/>
                                                                                            <w:left w:val="none" w:sz="0" w:space="0" w:color="auto"/>
                                                                                            <w:bottom w:val="none" w:sz="0" w:space="0" w:color="auto"/>
                                                                                            <w:right w:val="none" w:sz="0" w:space="0" w:color="auto"/>
                                                                                          </w:divBdr>
                                                                                          <w:divsChild>
                                                                                            <w:div w:id="1219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7623754">
      <w:bodyDiv w:val="1"/>
      <w:marLeft w:val="0"/>
      <w:marRight w:val="0"/>
      <w:marTop w:val="0"/>
      <w:marBottom w:val="0"/>
      <w:divBdr>
        <w:top w:val="none" w:sz="0" w:space="0" w:color="auto"/>
        <w:left w:val="none" w:sz="0" w:space="0" w:color="auto"/>
        <w:bottom w:val="none" w:sz="0" w:space="0" w:color="auto"/>
        <w:right w:val="none" w:sz="0" w:space="0" w:color="auto"/>
      </w:divBdr>
      <w:divsChild>
        <w:div w:id="1075863510">
          <w:marLeft w:val="0"/>
          <w:marRight w:val="0"/>
          <w:marTop w:val="0"/>
          <w:marBottom w:val="0"/>
          <w:divBdr>
            <w:top w:val="none" w:sz="0" w:space="0" w:color="auto"/>
            <w:left w:val="none" w:sz="0" w:space="0" w:color="auto"/>
            <w:bottom w:val="none" w:sz="0" w:space="0" w:color="auto"/>
            <w:right w:val="none" w:sz="0" w:space="0" w:color="auto"/>
          </w:divBdr>
          <w:divsChild>
            <w:div w:id="1946764841">
              <w:marLeft w:val="0"/>
              <w:marRight w:val="0"/>
              <w:marTop w:val="0"/>
              <w:marBottom w:val="0"/>
              <w:divBdr>
                <w:top w:val="none" w:sz="0" w:space="0" w:color="auto"/>
                <w:left w:val="none" w:sz="0" w:space="0" w:color="auto"/>
                <w:bottom w:val="none" w:sz="0" w:space="0" w:color="auto"/>
                <w:right w:val="none" w:sz="0" w:space="0" w:color="auto"/>
              </w:divBdr>
              <w:divsChild>
                <w:div w:id="435098744">
                  <w:marLeft w:val="0"/>
                  <w:marRight w:val="240"/>
                  <w:marTop w:val="0"/>
                  <w:marBottom w:val="0"/>
                  <w:divBdr>
                    <w:top w:val="none" w:sz="0" w:space="0" w:color="auto"/>
                    <w:left w:val="none" w:sz="0" w:space="0" w:color="auto"/>
                    <w:bottom w:val="none" w:sz="0" w:space="0" w:color="auto"/>
                    <w:right w:val="none" w:sz="0" w:space="0" w:color="auto"/>
                  </w:divBdr>
                  <w:divsChild>
                    <w:div w:id="50083397">
                      <w:marLeft w:val="0"/>
                      <w:marRight w:val="0"/>
                      <w:marTop w:val="0"/>
                      <w:marBottom w:val="0"/>
                      <w:divBdr>
                        <w:top w:val="none" w:sz="0" w:space="0" w:color="auto"/>
                        <w:left w:val="none" w:sz="0" w:space="0" w:color="auto"/>
                        <w:bottom w:val="none" w:sz="0" w:space="0" w:color="auto"/>
                        <w:right w:val="none" w:sz="0" w:space="0" w:color="auto"/>
                      </w:divBdr>
                      <w:divsChild>
                        <w:div w:id="36467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186723">
      <w:bodyDiv w:val="1"/>
      <w:marLeft w:val="0"/>
      <w:marRight w:val="0"/>
      <w:marTop w:val="0"/>
      <w:marBottom w:val="0"/>
      <w:divBdr>
        <w:top w:val="none" w:sz="0" w:space="0" w:color="auto"/>
        <w:left w:val="none" w:sz="0" w:space="0" w:color="auto"/>
        <w:bottom w:val="none" w:sz="0" w:space="0" w:color="auto"/>
        <w:right w:val="none" w:sz="0" w:space="0" w:color="auto"/>
      </w:divBdr>
    </w:div>
    <w:div w:id="889463472">
      <w:bodyDiv w:val="1"/>
      <w:marLeft w:val="0"/>
      <w:marRight w:val="0"/>
      <w:marTop w:val="0"/>
      <w:marBottom w:val="0"/>
      <w:divBdr>
        <w:top w:val="none" w:sz="0" w:space="0" w:color="auto"/>
        <w:left w:val="none" w:sz="0" w:space="0" w:color="auto"/>
        <w:bottom w:val="none" w:sz="0" w:space="0" w:color="auto"/>
        <w:right w:val="none" w:sz="0" w:space="0" w:color="auto"/>
      </w:divBdr>
    </w:div>
    <w:div w:id="944731993">
      <w:bodyDiv w:val="1"/>
      <w:marLeft w:val="0"/>
      <w:marRight w:val="0"/>
      <w:marTop w:val="0"/>
      <w:marBottom w:val="0"/>
      <w:divBdr>
        <w:top w:val="none" w:sz="0" w:space="0" w:color="auto"/>
        <w:left w:val="none" w:sz="0" w:space="0" w:color="auto"/>
        <w:bottom w:val="none" w:sz="0" w:space="0" w:color="auto"/>
        <w:right w:val="none" w:sz="0" w:space="0" w:color="auto"/>
      </w:divBdr>
    </w:div>
    <w:div w:id="976759565">
      <w:bodyDiv w:val="1"/>
      <w:marLeft w:val="0"/>
      <w:marRight w:val="0"/>
      <w:marTop w:val="0"/>
      <w:marBottom w:val="0"/>
      <w:divBdr>
        <w:top w:val="none" w:sz="0" w:space="0" w:color="auto"/>
        <w:left w:val="none" w:sz="0" w:space="0" w:color="auto"/>
        <w:bottom w:val="none" w:sz="0" w:space="0" w:color="auto"/>
        <w:right w:val="none" w:sz="0" w:space="0" w:color="auto"/>
      </w:divBdr>
    </w:div>
    <w:div w:id="1157308633">
      <w:bodyDiv w:val="1"/>
      <w:marLeft w:val="0"/>
      <w:marRight w:val="0"/>
      <w:marTop w:val="0"/>
      <w:marBottom w:val="0"/>
      <w:divBdr>
        <w:top w:val="none" w:sz="0" w:space="0" w:color="auto"/>
        <w:left w:val="none" w:sz="0" w:space="0" w:color="auto"/>
        <w:bottom w:val="none" w:sz="0" w:space="0" w:color="auto"/>
        <w:right w:val="none" w:sz="0" w:space="0" w:color="auto"/>
      </w:divBdr>
    </w:div>
    <w:div w:id="1196190936">
      <w:bodyDiv w:val="1"/>
      <w:marLeft w:val="0"/>
      <w:marRight w:val="0"/>
      <w:marTop w:val="0"/>
      <w:marBottom w:val="0"/>
      <w:divBdr>
        <w:top w:val="none" w:sz="0" w:space="0" w:color="auto"/>
        <w:left w:val="none" w:sz="0" w:space="0" w:color="auto"/>
        <w:bottom w:val="none" w:sz="0" w:space="0" w:color="auto"/>
        <w:right w:val="none" w:sz="0" w:space="0" w:color="auto"/>
      </w:divBdr>
    </w:div>
    <w:div w:id="1203978365">
      <w:bodyDiv w:val="1"/>
      <w:marLeft w:val="0"/>
      <w:marRight w:val="0"/>
      <w:marTop w:val="0"/>
      <w:marBottom w:val="0"/>
      <w:divBdr>
        <w:top w:val="none" w:sz="0" w:space="0" w:color="auto"/>
        <w:left w:val="none" w:sz="0" w:space="0" w:color="auto"/>
        <w:bottom w:val="none" w:sz="0" w:space="0" w:color="auto"/>
        <w:right w:val="none" w:sz="0" w:space="0" w:color="auto"/>
      </w:divBdr>
    </w:div>
    <w:div w:id="1264267036">
      <w:bodyDiv w:val="1"/>
      <w:marLeft w:val="0"/>
      <w:marRight w:val="0"/>
      <w:marTop w:val="0"/>
      <w:marBottom w:val="0"/>
      <w:divBdr>
        <w:top w:val="none" w:sz="0" w:space="0" w:color="auto"/>
        <w:left w:val="none" w:sz="0" w:space="0" w:color="auto"/>
        <w:bottom w:val="none" w:sz="0" w:space="0" w:color="auto"/>
        <w:right w:val="none" w:sz="0" w:space="0" w:color="auto"/>
      </w:divBdr>
    </w:div>
    <w:div w:id="1295722210">
      <w:bodyDiv w:val="1"/>
      <w:marLeft w:val="0"/>
      <w:marRight w:val="0"/>
      <w:marTop w:val="0"/>
      <w:marBottom w:val="0"/>
      <w:divBdr>
        <w:top w:val="none" w:sz="0" w:space="0" w:color="auto"/>
        <w:left w:val="none" w:sz="0" w:space="0" w:color="auto"/>
        <w:bottom w:val="none" w:sz="0" w:space="0" w:color="auto"/>
        <w:right w:val="none" w:sz="0" w:space="0" w:color="auto"/>
      </w:divBdr>
    </w:div>
    <w:div w:id="1341808070">
      <w:bodyDiv w:val="1"/>
      <w:marLeft w:val="0"/>
      <w:marRight w:val="0"/>
      <w:marTop w:val="0"/>
      <w:marBottom w:val="0"/>
      <w:divBdr>
        <w:top w:val="none" w:sz="0" w:space="0" w:color="auto"/>
        <w:left w:val="none" w:sz="0" w:space="0" w:color="auto"/>
        <w:bottom w:val="none" w:sz="0" w:space="0" w:color="auto"/>
        <w:right w:val="none" w:sz="0" w:space="0" w:color="auto"/>
      </w:divBdr>
    </w:div>
    <w:div w:id="1404181565">
      <w:bodyDiv w:val="1"/>
      <w:marLeft w:val="0"/>
      <w:marRight w:val="0"/>
      <w:marTop w:val="0"/>
      <w:marBottom w:val="0"/>
      <w:divBdr>
        <w:top w:val="none" w:sz="0" w:space="0" w:color="auto"/>
        <w:left w:val="none" w:sz="0" w:space="0" w:color="auto"/>
        <w:bottom w:val="none" w:sz="0" w:space="0" w:color="auto"/>
        <w:right w:val="none" w:sz="0" w:space="0" w:color="auto"/>
      </w:divBdr>
      <w:divsChild>
        <w:div w:id="1144853100">
          <w:marLeft w:val="0"/>
          <w:marRight w:val="0"/>
          <w:marTop w:val="96"/>
          <w:marBottom w:val="0"/>
          <w:divBdr>
            <w:top w:val="none" w:sz="0" w:space="0" w:color="auto"/>
            <w:left w:val="none" w:sz="0" w:space="0" w:color="auto"/>
            <w:bottom w:val="none" w:sz="0" w:space="0" w:color="auto"/>
            <w:right w:val="none" w:sz="0" w:space="0" w:color="auto"/>
          </w:divBdr>
        </w:div>
      </w:divsChild>
    </w:div>
    <w:div w:id="1410807234">
      <w:bodyDiv w:val="1"/>
      <w:marLeft w:val="0"/>
      <w:marRight w:val="0"/>
      <w:marTop w:val="0"/>
      <w:marBottom w:val="0"/>
      <w:divBdr>
        <w:top w:val="none" w:sz="0" w:space="0" w:color="auto"/>
        <w:left w:val="none" w:sz="0" w:space="0" w:color="auto"/>
        <w:bottom w:val="none" w:sz="0" w:space="0" w:color="auto"/>
        <w:right w:val="none" w:sz="0" w:space="0" w:color="auto"/>
      </w:divBdr>
    </w:div>
    <w:div w:id="1488092807">
      <w:bodyDiv w:val="1"/>
      <w:marLeft w:val="0"/>
      <w:marRight w:val="0"/>
      <w:marTop w:val="0"/>
      <w:marBottom w:val="0"/>
      <w:divBdr>
        <w:top w:val="none" w:sz="0" w:space="0" w:color="auto"/>
        <w:left w:val="none" w:sz="0" w:space="0" w:color="auto"/>
        <w:bottom w:val="none" w:sz="0" w:space="0" w:color="auto"/>
        <w:right w:val="none" w:sz="0" w:space="0" w:color="auto"/>
      </w:divBdr>
    </w:div>
    <w:div w:id="1592471386">
      <w:bodyDiv w:val="1"/>
      <w:marLeft w:val="0"/>
      <w:marRight w:val="0"/>
      <w:marTop w:val="0"/>
      <w:marBottom w:val="0"/>
      <w:divBdr>
        <w:top w:val="none" w:sz="0" w:space="0" w:color="auto"/>
        <w:left w:val="none" w:sz="0" w:space="0" w:color="auto"/>
        <w:bottom w:val="none" w:sz="0" w:space="0" w:color="auto"/>
        <w:right w:val="none" w:sz="0" w:space="0" w:color="auto"/>
      </w:divBdr>
    </w:div>
    <w:div w:id="1814905832">
      <w:bodyDiv w:val="1"/>
      <w:marLeft w:val="0"/>
      <w:marRight w:val="0"/>
      <w:marTop w:val="0"/>
      <w:marBottom w:val="0"/>
      <w:divBdr>
        <w:top w:val="none" w:sz="0" w:space="0" w:color="auto"/>
        <w:left w:val="none" w:sz="0" w:space="0" w:color="auto"/>
        <w:bottom w:val="none" w:sz="0" w:space="0" w:color="auto"/>
        <w:right w:val="none" w:sz="0" w:space="0" w:color="auto"/>
      </w:divBdr>
    </w:div>
    <w:div w:id="1904753444">
      <w:bodyDiv w:val="1"/>
      <w:marLeft w:val="0"/>
      <w:marRight w:val="0"/>
      <w:marTop w:val="0"/>
      <w:marBottom w:val="0"/>
      <w:divBdr>
        <w:top w:val="none" w:sz="0" w:space="0" w:color="auto"/>
        <w:left w:val="none" w:sz="0" w:space="0" w:color="auto"/>
        <w:bottom w:val="none" w:sz="0" w:space="0" w:color="auto"/>
        <w:right w:val="none" w:sz="0" w:space="0" w:color="auto"/>
      </w:divBdr>
    </w:div>
    <w:div w:id="1960838099">
      <w:bodyDiv w:val="1"/>
      <w:marLeft w:val="0"/>
      <w:marRight w:val="0"/>
      <w:marTop w:val="0"/>
      <w:marBottom w:val="0"/>
      <w:divBdr>
        <w:top w:val="none" w:sz="0" w:space="0" w:color="auto"/>
        <w:left w:val="none" w:sz="0" w:space="0" w:color="auto"/>
        <w:bottom w:val="none" w:sz="0" w:space="0" w:color="auto"/>
        <w:right w:val="none" w:sz="0" w:space="0" w:color="auto"/>
      </w:divBdr>
    </w:div>
    <w:div w:id="1975599147">
      <w:bodyDiv w:val="1"/>
      <w:marLeft w:val="0"/>
      <w:marRight w:val="0"/>
      <w:marTop w:val="0"/>
      <w:marBottom w:val="0"/>
      <w:divBdr>
        <w:top w:val="none" w:sz="0" w:space="0" w:color="auto"/>
        <w:left w:val="none" w:sz="0" w:space="0" w:color="auto"/>
        <w:bottom w:val="none" w:sz="0" w:space="0" w:color="auto"/>
        <w:right w:val="none" w:sz="0" w:space="0" w:color="auto"/>
      </w:divBdr>
    </w:div>
    <w:div w:id="202566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csb.gov.lv/statistikas-temas/termini/produktu-nodokli-34406.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l2d.lv/l.php?doc_id=190521" TargetMode="External"/><Relationship Id="rId2" Type="http://schemas.openxmlformats.org/officeDocument/2006/relationships/hyperlink" Target="http://www.l2d.lv/l.php?doc_id=41734" TargetMode="External"/><Relationship Id="rId1" Type="http://schemas.openxmlformats.org/officeDocument/2006/relationships/hyperlink" Target="http://www.l2d.lv/l.php?doc_id=1947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BEF22-7310-4B7E-B26C-06457455D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25031</Words>
  <Characters>14268</Characters>
  <Application>Microsoft Office Word</Application>
  <DocSecurity>0</DocSecurity>
  <Lines>118</Lines>
  <Paragraphs>78</Paragraphs>
  <ScaleCrop>false</ScaleCrop>
  <HeadingPairs>
    <vt:vector size="2" baseType="variant">
      <vt:variant>
        <vt:lpstr>Title</vt:lpstr>
      </vt:variant>
      <vt:variant>
        <vt:i4>1</vt:i4>
      </vt:variant>
    </vt:vector>
  </HeadingPairs>
  <TitlesOfParts>
    <vt:vector size="1" baseType="lpstr">
      <vt:lpstr/>
    </vt:vector>
  </TitlesOfParts>
  <Company>LR CSP</Company>
  <LinksUpToDate>false</LinksUpToDate>
  <CharactersWithSpaces>39221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Andis Rozkalns</dc:creator>
  <cp:lastModifiedBy>Laimdota Adlere</cp:lastModifiedBy>
  <cp:revision>8</cp:revision>
  <cp:lastPrinted>2015-09-08T07:13:00Z</cp:lastPrinted>
  <dcterms:created xsi:type="dcterms:W3CDTF">2015-09-08T07:06:00Z</dcterms:created>
  <dcterms:modified xsi:type="dcterms:W3CDTF">2015-09-08T07:18:00Z</dcterms:modified>
</cp:coreProperties>
</file>